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 xml:space="preserve">编号：57015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13"/>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“金融机构外汇与人民币资产不匹配的购汇、结汇审批”</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w:t>
      </w:r>
      <w:r>
        <w:rPr>
          <w:rFonts w:hint="eastAsia"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1</w:t>
      </w:r>
      <w:r>
        <w:rPr>
          <w:rFonts w:ascii="Times New Roman" w:hAnsi="Times New Roman" w:eastAsia="仿宋_GB2312" w:cs="Times New Roman"/>
          <w:sz w:val="30"/>
          <w:szCs w:val="30"/>
        </w:rPr>
        <w:t>年</w:t>
      </w:r>
      <w:r>
        <w:rPr>
          <w:rFonts w:hint="eastAsia" w:ascii="仿宋" w:hAnsi="仿宋" w:eastAsia="仿宋" w:cs="仿宋"/>
          <w:color w:val="auto"/>
          <w:sz w:val="30"/>
          <w:szCs w:val="30"/>
          <w:highlight w:val="none"/>
          <w:lang w:val="en-US" w:eastAsia="zh-CN"/>
        </w:rPr>
        <w:t>4</w:t>
      </w:r>
      <w:r>
        <w:rPr>
          <w:rFonts w:ascii="仿宋" w:hAnsi="仿宋" w:eastAsia="仿宋" w:cs="仿宋"/>
          <w:color w:val="auto"/>
          <w:sz w:val="30"/>
          <w:szCs w:val="30"/>
          <w:highlight w:val="none"/>
        </w:rPr>
        <w:t>月</w:t>
      </w:r>
      <w:r>
        <w:rPr>
          <w:rFonts w:hint="eastAsia" w:ascii="仿宋" w:hAnsi="仿宋" w:eastAsia="仿宋" w:cs="仿宋"/>
          <w:color w:val="auto"/>
          <w:sz w:val="30"/>
          <w:szCs w:val="30"/>
          <w:highlight w:val="none"/>
          <w:lang w:val="en-US" w:eastAsia="zh-CN"/>
        </w:rPr>
        <w:t>29</w:t>
      </w:r>
      <w:r>
        <w:rPr>
          <w:rFonts w:ascii="仿宋" w:hAnsi="仿宋" w:eastAsia="仿宋" w:cs="仿宋"/>
          <w:color w:val="auto"/>
          <w:sz w:val="30"/>
          <w:szCs w:val="30"/>
          <w:highlight w:val="none"/>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w:t>
      </w:r>
      <w:r>
        <w:rPr>
          <w:rFonts w:hint="eastAsia"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1</w:t>
      </w:r>
      <w:r>
        <w:rPr>
          <w:rFonts w:ascii="Times New Roman" w:hAnsi="Times New Roman" w:eastAsia="仿宋_GB2312" w:cs="Times New Roman"/>
          <w:sz w:val="30"/>
          <w:szCs w:val="30"/>
        </w:rPr>
        <w:t>年</w:t>
      </w:r>
      <w:r>
        <w:rPr>
          <w:rFonts w:hint="eastAsia" w:ascii="仿宋" w:hAnsi="仿宋" w:eastAsia="仿宋" w:cs="仿宋"/>
          <w:color w:val="auto"/>
          <w:sz w:val="30"/>
          <w:szCs w:val="30"/>
          <w:highlight w:val="none"/>
          <w:lang w:val="en-US" w:eastAsia="zh-CN"/>
        </w:rPr>
        <w:t>4</w:t>
      </w:r>
      <w:r>
        <w:rPr>
          <w:rFonts w:ascii="仿宋" w:hAnsi="仿宋" w:eastAsia="仿宋" w:cs="仿宋"/>
          <w:color w:val="auto"/>
          <w:sz w:val="30"/>
          <w:szCs w:val="30"/>
          <w:highlight w:val="none"/>
        </w:rPr>
        <w:t>月</w:t>
      </w:r>
      <w:r>
        <w:rPr>
          <w:rFonts w:hint="eastAsia" w:ascii="仿宋" w:hAnsi="仿宋" w:eastAsia="仿宋" w:cs="仿宋"/>
          <w:color w:val="auto"/>
          <w:sz w:val="30"/>
          <w:szCs w:val="30"/>
          <w:highlight w:val="none"/>
          <w:lang w:val="en-US" w:eastAsia="zh-CN"/>
        </w:rPr>
        <w:t>29</w:t>
      </w:r>
      <w:r>
        <w:rPr>
          <w:rFonts w:ascii="仿宋" w:hAnsi="仿宋" w:eastAsia="仿宋" w:cs="仿宋"/>
          <w:color w:val="auto"/>
          <w:sz w:val="30"/>
          <w:szCs w:val="30"/>
          <w:highlight w:val="none"/>
        </w:rPr>
        <w:t>日</w:t>
      </w:r>
      <w:bookmarkStart w:id="0" w:name="_GoBack"/>
      <w:bookmarkEnd w:id="0"/>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r>
        <w:rPr>
          <w:rFonts w:hint="eastAsia" w:ascii="Times New Roman" w:hAnsi="Times New Roman" w:eastAsia="仿宋_GB2312" w:cs="Times New Roman"/>
          <w:sz w:val="30"/>
          <w:szCs w:val="30"/>
          <w:lang w:eastAsia="zh-CN"/>
        </w:rPr>
        <w:t>江西省分局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titlePg/>
          <w:docGrid w:type="lines" w:linePitch="312" w:charSpace="0"/>
        </w:sectPr>
      </w:pPr>
    </w:p>
    <w:p>
      <w:pPr>
        <w:ind w:right="300"/>
        <w:jc w:val="left"/>
        <w:rPr>
          <w:rFonts w:ascii="Times New Roman" w:hAnsi="Times New Roman" w:eastAsia="黑体" w:cs="Times New Roman"/>
          <w:sz w:val="48"/>
          <w:szCs w:val="48"/>
        </w:rPr>
        <w:sectPr>
          <w:footerReference r:id="rId10" w:type="default"/>
          <w:type w:val="continuous"/>
          <w:pgSz w:w="11906" w:h="16838"/>
          <w:pgMar w:top="1440" w:right="1800" w:bottom="1440" w:left="1800" w:header="851" w:footer="992" w:gutter="0"/>
          <w:cols w:space="720" w:num="1"/>
          <w:docGrid w:type="lines" w:linePitch="312" w:charSpace="0"/>
        </w:sectPr>
      </w:pPr>
    </w:p>
    <w:p>
      <w:pPr>
        <w:adjustRightInd w:val="0"/>
        <w:snapToGrid w:val="0"/>
        <w:spacing w:line="360" w:lineRule="auto"/>
        <w:jc w:val="left"/>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项目名称：金融机构外汇与人民币资产不匹配的购汇、结汇审批；</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项目编号：57015；</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本指南适用于“银行资本金（或营运资金）本外币转换核准”的申请和办理。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《中华人民共和国外汇管理条例》（国务院令第532号）第二十六条：“金融机构的资本金、利润以及因本外币资产不匹配需要进行人民币与外币间转换的，应当经外汇管理机关批准”。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四、银行资本金（或营运资金）本外币转换核准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2.《银行办理结售汇业务管理办法》（中国人民银行令</w:t>
      </w:r>
      <w:r>
        <w:rPr>
          <w:rFonts w:hint="eastAsia" w:ascii="Times New Roman" w:hAnsi="Times New Roman" w:eastAsia="仿宋_GB2312" w:cs="Times New Roman"/>
          <w:sz w:val="30"/>
          <w:szCs w:val="30"/>
        </w:rPr>
        <w:t>〔2014〕</w:t>
      </w:r>
      <w:r>
        <w:rPr>
          <w:rFonts w:ascii="Times New Roman" w:hAnsi="Times New Roman" w:eastAsia="仿宋_GB2312" w:cs="Times New Roman"/>
          <w:sz w:val="30"/>
          <w:szCs w:val="30"/>
        </w:rPr>
        <w:t>第2号）；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3.《国家外汇管理局关于印发〈银行办理结售汇业务管理办法实施细则〉的通知》（汇发</w:t>
      </w:r>
      <w:r>
        <w:rPr>
          <w:rFonts w:hint="eastAsia" w:ascii="Times New Roman" w:hAnsi="Times New Roman" w:eastAsia="仿宋_GB2312" w:cs="Times New Roman"/>
          <w:sz w:val="30"/>
          <w:szCs w:val="30"/>
        </w:rPr>
        <w:t>〔2014〕</w:t>
      </w:r>
      <w:r>
        <w:rPr>
          <w:rFonts w:ascii="Times New Roman" w:hAnsi="Times New Roman" w:eastAsia="仿宋_GB2312" w:cs="Times New Roman"/>
          <w:sz w:val="30"/>
          <w:szCs w:val="30"/>
        </w:rPr>
        <w:t>53号）。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申请人所在地国家外汇管理局分局（外汇管理部）。</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申请人所在地国家外汇管理局分局（外汇管理部）。</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r>
        <w:rPr>
          <w:rFonts w:hint="eastAsia" w:ascii="Times New Roman" w:hAnsi="Times New Roman" w:eastAsia="仿宋_GB2312" w:cs="Times New Roman"/>
          <w:sz w:val="30"/>
          <w:szCs w:val="30"/>
        </w:rPr>
        <w:t>.</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申请人为银行，需同时符合以下条件：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1.完成本外币转换后的“（外汇所有者权益+外汇营运资金）／外汇资产”与“（人民币所有者权益+人民币营运资金）／人民币资产”基本相等。</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以上数据按银行境内机构的资产负债表计算，不包括境外关联行。计算外汇资产可扣除部分政策性因素形成的外汇资产；计算人民币资产，应对其中的存放同业和拆放同业取结汇申请前四个季度末的平均数。营运资金和所有者权益不重复计算；人民币营运资金是指外国银行向境内分行拨付的人民币营运资金（含结汇后人民币营运资金）；外汇营运资金是外国银行向境内分行拨付的外汇营运资金，以及境内法人银行以自有人民币购买并在外汇营运资金科目核算的资金。计算外汇所有者权益时应扣除未分配外汇利润，但未分配外汇利润为亏损的，不得扣除。</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3.新开办外汇业务的中资银行或新开办人民币业务的外资银行，首次可申请将不超过10%的资本金进行本外币转换。</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银行购买外汇资本金或外汇营运资金发展外汇业务的，可依据实际需要申请，不受前述第1和3项条件限制。</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银行业监督管理部门对资本金币种有明确要求或其他特殊情况的，可不受前述第1和3项条件限制。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银行申请原则上每年不得超过一次。</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8"/>
        <w:tblW w:w="84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4394"/>
        <w:gridCol w:w="1102"/>
        <w:gridCol w:w="457"/>
        <w:gridCol w:w="961"/>
        <w:gridCol w:w="457"/>
        <w:gridCol w:w="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39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10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6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49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39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申请报告</w:t>
            </w:r>
          </w:p>
        </w:tc>
        <w:tc>
          <w:tcPr>
            <w:tcW w:w="110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w:t>
            </w:r>
          </w:p>
        </w:tc>
        <w:tc>
          <w:tcPr>
            <w:tcW w:w="45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纸质/电子</w:t>
            </w:r>
          </w:p>
        </w:tc>
        <w:tc>
          <w:tcPr>
            <w:tcW w:w="457" w:type="dxa"/>
            <w:vAlign w:val="center"/>
          </w:tcPr>
          <w:p>
            <w:pPr>
              <w:jc w:val="center"/>
              <w:rPr>
                <w:rFonts w:ascii="Times New Roman" w:hAnsi="Times New Roman" w:eastAsia="仿宋_GB2312" w:cs="Times New Roman"/>
                <w:sz w:val="24"/>
                <w:szCs w:val="24"/>
              </w:rPr>
            </w:pPr>
          </w:p>
        </w:tc>
        <w:tc>
          <w:tcPr>
            <w:tcW w:w="497"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39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人民币和外币资产负债表</w:t>
            </w:r>
          </w:p>
        </w:tc>
        <w:tc>
          <w:tcPr>
            <w:tcW w:w="110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w:t>
            </w:r>
          </w:p>
        </w:tc>
        <w:tc>
          <w:tcPr>
            <w:tcW w:w="45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纸质/电子</w:t>
            </w:r>
          </w:p>
        </w:tc>
        <w:tc>
          <w:tcPr>
            <w:tcW w:w="457" w:type="dxa"/>
            <w:vAlign w:val="center"/>
          </w:tcPr>
          <w:p>
            <w:pPr>
              <w:jc w:val="center"/>
              <w:rPr>
                <w:rFonts w:ascii="Times New Roman" w:hAnsi="Times New Roman" w:eastAsia="仿宋_GB2312" w:cs="Times New Roman"/>
                <w:sz w:val="24"/>
                <w:szCs w:val="24"/>
              </w:rPr>
            </w:pPr>
          </w:p>
        </w:tc>
        <w:tc>
          <w:tcPr>
            <w:tcW w:w="497"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39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本外币转换金额的测算依据</w:t>
            </w:r>
          </w:p>
        </w:tc>
        <w:tc>
          <w:tcPr>
            <w:tcW w:w="110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w:t>
            </w:r>
          </w:p>
        </w:tc>
        <w:tc>
          <w:tcPr>
            <w:tcW w:w="45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纸质/电子</w:t>
            </w:r>
          </w:p>
        </w:tc>
        <w:tc>
          <w:tcPr>
            <w:tcW w:w="457" w:type="dxa"/>
            <w:vAlign w:val="center"/>
          </w:tcPr>
          <w:p>
            <w:pPr>
              <w:jc w:val="center"/>
              <w:rPr>
                <w:rFonts w:ascii="Times New Roman" w:hAnsi="Times New Roman" w:eastAsia="仿宋_GB2312" w:cs="Times New Roman"/>
                <w:sz w:val="24"/>
                <w:szCs w:val="24"/>
              </w:rPr>
            </w:pPr>
          </w:p>
        </w:tc>
        <w:tc>
          <w:tcPr>
            <w:tcW w:w="497"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39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相关交易需经银行业监督管理部门批准的，应提供相应批准文件的复印件</w:t>
            </w:r>
          </w:p>
        </w:tc>
        <w:tc>
          <w:tcPr>
            <w:tcW w:w="110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加盖</w:t>
            </w:r>
            <w:r>
              <w:rPr>
                <w:rFonts w:hint="eastAsia" w:ascii="Times New Roman" w:hAnsi="Times New Roman" w:eastAsia="仿宋_GB2312" w:cs="Times New Roman"/>
                <w:sz w:val="24"/>
                <w:szCs w:val="24"/>
              </w:rPr>
              <w:t>银行</w:t>
            </w:r>
            <w:r>
              <w:rPr>
                <w:rFonts w:ascii="Times New Roman" w:hAnsi="Times New Roman" w:eastAsia="仿宋_GB2312" w:cs="Times New Roman"/>
                <w:sz w:val="24"/>
                <w:szCs w:val="24"/>
              </w:rPr>
              <w:t>公章的复印件</w:t>
            </w:r>
          </w:p>
        </w:tc>
        <w:tc>
          <w:tcPr>
            <w:tcW w:w="45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纸质/电子</w:t>
            </w:r>
          </w:p>
        </w:tc>
        <w:tc>
          <w:tcPr>
            <w:tcW w:w="457" w:type="dxa"/>
            <w:vAlign w:val="center"/>
          </w:tcPr>
          <w:p>
            <w:pPr>
              <w:jc w:val="center"/>
              <w:rPr>
                <w:rFonts w:ascii="Times New Roman" w:hAnsi="Times New Roman" w:eastAsia="仿宋_GB2312" w:cs="Times New Roman"/>
                <w:sz w:val="24"/>
                <w:szCs w:val="24"/>
              </w:rPr>
            </w:pPr>
          </w:p>
        </w:tc>
        <w:tc>
          <w:tcPr>
            <w:tcW w:w="497" w:type="dxa"/>
            <w:vAlign w:val="center"/>
          </w:tcPr>
          <w:p>
            <w:pPr>
              <w:jc w:val="center"/>
              <w:rPr>
                <w:rFonts w:ascii="Times New Roman" w:hAnsi="Times New Roman" w:eastAsia="仿宋_GB2312" w:cs="Times New Roman"/>
                <w:sz w:val="24"/>
                <w:szCs w:val="24"/>
              </w:rPr>
            </w:pP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申请人可通过窗口、邮寄、国家外汇管理局政务服务网上办理系统等方式提交材料。</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国家外汇管理局江西省分局接受申请窗口：“国家外汇管理局江西省分局国际收支处”，联系电话</w:t>
      </w:r>
      <w:r>
        <w:rPr>
          <w:rFonts w:hint="eastAsia" w:ascii="Times New Roman" w:hAnsi="Times New Roman" w:eastAsia="仿宋_GB2312" w:cs="Times New Roman"/>
          <w:sz w:val="30"/>
          <w:szCs w:val="30"/>
          <w:lang w:val="en-US" w:eastAsia="zh-CN"/>
        </w:rPr>
        <w:t>:</w:t>
      </w:r>
      <w:r>
        <w:rPr>
          <w:rFonts w:ascii="Times New Roman" w:hAnsi="Times New Roman" w:eastAsia="仿宋_GB2312" w:cs="Times New Roman"/>
          <w:sz w:val="30"/>
          <w:szCs w:val="30"/>
        </w:rPr>
        <w:t>0791</w:t>
      </w:r>
      <w:r>
        <w:rPr>
          <w:rFonts w:hint="eastAsia" w:ascii="Times New Roman" w:hAnsi="Times New Roman" w:eastAsia="仿宋_GB2312" w:cs="Times New Roman"/>
          <w:sz w:val="30"/>
          <w:szCs w:val="30"/>
          <w:lang w:val="en-US" w:eastAsia="zh-CN"/>
        </w:rPr>
        <w:t>-</w:t>
      </w:r>
      <w:r>
        <w:rPr>
          <w:rFonts w:ascii="Times New Roman" w:hAnsi="Times New Roman" w:eastAsia="仿宋_GB2312" w:cs="Times New Roman"/>
          <w:sz w:val="30"/>
          <w:szCs w:val="30"/>
        </w:rPr>
        <w:t>86613742，地址：江西省南昌市东湖区铁街 25 号，邮政编码 330008。</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进行审查报批，不予许可的，出具不予许可通知书。受理的，审核作出批准或者不予批准的决定，对于符合规定条件予以批准的，出具正式公文；不予批准的，做出不予批准的行政许可书面决定并说明理由。</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4.材料不全或不符合法定形式的，一次性告知补正材料，并出具《行政许可补正通知书》。</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一般程序：申请、受理、审查、决定、出具正式公文。</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20个工作日。</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正式公文。</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通过现场告知或电话通知申请人，并通过现场领取或邮寄方式将结果送达。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1"/>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w:t>
      </w:r>
    </w:p>
    <w:p>
      <w:pPr>
        <w:adjustRightInd w:val="0"/>
        <w:snapToGrid w:val="0"/>
        <w:spacing w:line="360" w:lineRule="auto"/>
        <w:ind w:firstLine="601"/>
        <w:rPr>
          <w:rFonts w:ascii="Times New Roman" w:hAnsi="Times New Roman" w:eastAsia="黑体" w:cs="Times New Roman"/>
          <w:sz w:val="30"/>
          <w:szCs w:val="30"/>
        </w:rPr>
      </w:pPr>
      <w:r>
        <w:rPr>
          <w:rFonts w:ascii="Times New Roman" w:hAnsi="Times New Roman" w:eastAsia="黑体" w:cs="Times New Roman"/>
          <w:sz w:val="30"/>
          <w:szCs w:val="30"/>
        </w:rPr>
        <w:t>（十五）事项审查类型</w:t>
      </w:r>
    </w:p>
    <w:p>
      <w:pPr>
        <w:adjustRightInd w:val="0"/>
        <w:snapToGrid w:val="0"/>
        <w:spacing w:line="360" w:lineRule="auto"/>
        <w:ind w:firstLine="601"/>
        <w:rPr>
          <w:rFonts w:ascii="Times New Roman" w:hAnsi="Times New Roman" w:eastAsia="仿宋_GB2312" w:cs="Times New Roman"/>
          <w:sz w:val="30"/>
          <w:szCs w:val="30"/>
        </w:rPr>
      </w:pPr>
      <w:r>
        <w:rPr>
          <w:rFonts w:ascii="Times New Roman" w:hAnsi="Times New Roman" w:eastAsia="仿宋_GB2312" w:cs="Times New Roman"/>
          <w:sz w:val="30"/>
          <w:szCs w:val="30"/>
        </w:rPr>
        <w:t>前审后批</w:t>
      </w:r>
      <w:r>
        <w:rPr>
          <w:rFonts w:hint="eastAsia" w:ascii="Times New Roman" w:hAnsi="Times New Roman" w:eastAsia="仿宋_GB2312" w:cs="Times New Roman"/>
          <w:sz w:val="30"/>
          <w:szCs w:val="30"/>
        </w:rPr>
        <w:t>。</w:t>
      </w:r>
    </w:p>
    <w:p>
      <w:pPr>
        <w:adjustRightInd w:val="0"/>
        <w:snapToGrid w:val="0"/>
        <w:spacing w:line="360" w:lineRule="auto"/>
        <w:ind w:firstLine="601"/>
        <w:rPr>
          <w:rFonts w:ascii="Times New Roman" w:hAnsi="Times New Roman" w:eastAsia="黑体" w:cs="Times New Roman"/>
          <w:sz w:val="30"/>
          <w:szCs w:val="30"/>
        </w:rPr>
      </w:pPr>
      <w:r>
        <w:rPr>
          <w:rFonts w:ascii="Times New Roman" w:hAnsi="Times New Roman" w:eastAsia="黑体" w:cs="Times New Roman"/>
          <w:sz w:val="30"/>
          <w:szCs w:val="30"/>
        </w:rPr>
        <w:t>（十六）办公地址和时间</w:t>
      </w:r>
    </w:p>
    <w:p>
      <w:pPr>
        <w:adjustRightInd w:val="0"/>
        <w:snapToGrid w:val="0"/>
        <w:spacing w:line="360" w:lineRule="auto"/>
        <w:ind w:firstLine="601"/>
        <w:rPr>
          <w:rFonts w:hint="eastAsia" w:ascii="Times New Roman" w:hAnsi="Times New Roman" w:eastAsia="仿宋_GB2312" w:cs="Times New Roman"/>
          <w:sz w:val="30"/>
          <w:szCs w:val="30"/>
        </w:rPr>
      </w:pPr>
      <w:r>
        <w:rPr>
          <w:rFonts w:hint="eastAsia" w:ascii="Times New Roman" w:hAnsi="Times New Roman" w:eastAsia="仿宋_GB2312" w:cs="Times New Roman"/>
          <w:sz w:val="30"/>
          <w:szCs w:val="30"/>
          <w:lang w:eastAsia="zh-CN"/>
        </w:rPr>
        <w:t>办公地址：江西省</w:t>
      </w:r>
      <w:r>
        <w:rPr>
          <w:rFonts w:hint="eastAsia" w:ascii="Times New Roman" w:hAnsi="Times New Roman" w:eastAsia="仿宋_GB2312" w:cs="Times New Roman"/>
          <w:sz w:val="30"/>
          <w:szCs w:val="30"/>
        </w:rPr>
        <w:t>南昌市东湖区铁街25号，邮政编码 330008。</w:t>
      </w:r>
    </w:p>
    <w:p>
      <w:pPr>
        <w:adjustRightInd w:val="0"/>
        <w:snapToGrid w:val="0"/>
        <w:spacing w:line="360" w:lineRule="auto"/>
        <w:ind w:firstLine="601"/>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办公时间：上午:  8:30--12:00</w:t>
      </w:r>
    </w:p>
    <w:p>
      <w:pPr>
        <w:adjustRightInd w:val="0"/>
        <w:snapToGrid w:val="0"/>
        <w:spacing w:line="360" w:lineRule="auto"/>
        <w:ind w:firstLine="601"/>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 xml:space="preserve">          下午： 2:00--5:30 （冬季作息时间为2:00--5:00）</w:t>
      </w:r>
    </w:p>
    <w:p>
      <w:pPr>
        <w:adjustRightInd w:val="0"/>
        <w:snapToGrid w:val="0"/>
        <w:spacing w:line="360" w:lineRule="auto"/>
        <w:ind w:firstLine="601"/>
        <w:rPr>
          <w:rFonts w:ascii="Times New Roman" w:hAnsi="Times New Roman" w:eastAsia="黑体" w:cs="Times New Roman"/>
          <w:sz w:val="30"/>
          <w:szCs w:val="30"/>
        </w:rPr>
      </w:pPr>
      <w:r>
        <w:rPr>
          <w:rFonts w:ascii="Times New Roman" w:hAnsi="Times New Roman" w:eastAsia="黑体" w:cs="Times New Roman"/>
          <w:sz w:val="30"/>
          <w:szCs w:val="30"/>
        </w:rPr>
        <w:t>（十七）禁止性要求</w:t>
      </w:r>
    </w:p>
    <w:p>
      <w:pPr>
        <w:adjustRightInd w:val="0"/>
        <w:snapToGrid w:val="0"/>
        <w:spacing w:line="360" w:lineRule="auto"/>
        <w:ind w:firstLine="601"/>
        <w:rPr>
          <w:rFonts w:ascii="Times New Roman" w:hAnsi="Times New Roman" w:eastAsia="仿宋_GB2312" w:cs="Times New Roman"/>
          <w:sz w:val="30"/>
          <w:szCs w:val="30"/>
        </w:rPr>
      </w:pPr>
      <w:r>
        <w:rPr>
          <w:rFonts w:ascii="Times New Roman" w:hAnsi="Times New Roman" w:eastAsia="仿宋_GB2312" w:cs="Times New Roman"/>
          <w:sz w:val="30"/>
          <w:szCs w:val="30"/>
        </w:rPr>
        <w:t>如符合上述条件，不存在不予许可的情况。</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（十八）咨询途径</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电话、电子邮件、网址</w:t>
      </w:r>
      <w:r>
        <w:rPr>
          <w:rFonts w:hint="eastAsia" w:ascii="Times New Roman" w:hAnsi="Times New Roman" w:eastAsia="仿宋_GB2312" w:cs="Times New Roman"/>
          <w:sz w:val="30"/>
          <w:szCs w:val="30"/>
        </w:rPr>
        <w:t>。</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（十九）办理进程和结果公开查询</w:t>
      </w:r>
    </w:p>
    <w:p>
      <w:pPr>
        <w:adjustRightInd w:val="0"/>
        <w:snapToGrid w:val="0"/>
        <w:spacing w:line="360" w:lineRule="auto"/>
        <w:ind w:firstLine="601"/>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adjustRightInd w:val="0"/>
        <w:snapToGrid w:val="0"/>
        <w:spacing w:line="360" w:lineRule="auto"/>
        <w:ind w:firstLine="601"/>
        <w:rPr>
          <w:rFonts w:ascii="Times New Roman" w:hAnsi="Times New Roman" w:eastAsia="仿宋_GB2312" w:cs="Times New Roman"/>
          <w:sz w:val="30"/>
          <w:szCs w:val="30"/>
        </w:rPr>
      </w:pPr>
      <w:r>
        <w:rPr>
          <w:rFonts w:ascii="Times New Roman" w:hAnsi="Times New Roman" w:eastAsia="仿宋_GB2312" w:cs="Times New Roman"/>
          <w:sz w:val="30"/>
          <w:szCs w:val="30"/>
        </w:rPr>
        <w:t>通过国家外汇管理局政务服务网上办理系统提交申请的，可在该系统内进行查询。</w:t>
      </w:r>
    </w:p>
    <w:p>
      <w:pPr>
        <w:adjustRightInd w:val="0"/>
        <w:snapToGrid w:val="0"/>
        <w:spacing w:line="360" w:lineRule="auto"/>
        <w:ind w:firstLine="601"/>
        <w:rPr>
          <w:rFonts w:ascii="Times New Roman" w:hAnsi="Times New Roman" w:eastAsia="黑体" w:cs="Times New Roman"/>
          <w:sz w:val="30"/>
          <w:szCs w:val="30"/>
        </w:rPr>
      </w:pPr>
      <w:r>
        <w:rPr>
          <w:rFonts w:ascii="Times New Roman" w:hAnsi="Times New Roman" w:eastAsia="黑体" w:cs="Times New Roman"/>
          <w:sz w:val="30"/>
          <w:szCs w:val="30"/>
        </w:rPr>
        <w:t>（二十）监督投诉渠道</w:t>
      </w:r>
    </w:p>
    <w:p>
      <w:pPr>
        <w:adjustRightInd w:val="0"/>
        <w:snapToGrid w:val="0"/>
        <w:spacing w:line="360" w:lineRule="auto"/>
        <w:ind w:firstLine="601"/>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（二十一）申请材料示范文本</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无固定格式。有关内容要求详见（六）申请材料。</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（二十二）常见问题解答</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审批时限在20个工作日以内。</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（二十三）常见错误示例</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申请材料要件不全，例如没有银监部门批准件复印件等。</w:t>
      </w:r>
    </w:p>
    <w:p>
      <w:pPr>
        <w:widowControl/>
        <w:adjustRightInd w:val="0"/>
        <w:snapToGrid w:val="0"/>
        <w:spacing w:line="360" w:lineRule="auto"/>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spacing w:after="0" w:line="343" w:lineRule="exact"/>
        <w:ind w:left="360"/>
        <w:rPr>
          <w:color w:val="auto"/>
          <w:sz w:val="20"/>
          <w:szCs w:val="20"/>
          <w:highlight w:val="none"/>
        </w:rPr>
      </w:pPr>
      <w:r>
        <w:rPr>
          <w:rFonts w:ascii="仿宋" w:hAnsi="仿宋" w:eastAsia="仿宋" w:cs="仿宋"/>
          <w:color w:val="auto"/>
          <w:sz w:val="30"/>
          <w:szCs w:val="30"/>
          <w:highlight w:val="none"/>
        </w:rPr>
        <w:t>附录</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rPr>
          <w:rFonts w:ascii="Times New Roman" w:hAnsi="Times New Roman" w:cs="Times New Roman"/>
        </w:rPr>
      </w:pPr>
      <w:r>
        <w:rPr>
          <w:rFonts w:ascii="Times New Roman" w:hAnsi="Times New Roman" w:eastAsia="宋体" w:cs="Times New Roman"/>
          <w:kern w:val="2"/>
          <w:sz w:val="21"/>
          <w:szCs w:val="22"/>
          <w:lang w:val="en-US" w:eastAsia="zh-CN" w:bidi="ar-SA"/>
        </w:rPr>
        <w:pict>
          <v:group id="Group 63" o:spid="_x0000_s1027" style="position:absolute;left:0;margin-left:-39.65pt;margin-top:29.05pt;height:421.55pt;width:459.7pt;rotation:0f;z-index:251658240;" coordorigin="1007,2645" coordsize="9194,8431">
            <o:lock v:ext="edit" position="f" selection="f" grouping="f" rotation="f" cropping="f" text="f" aspectratio="f"/>
            <v:shape id="Straight Connector 64" o:spid="_x0000_s1028" type="#_x0000_t32" style="position:absolute;left:2612;top:4069;height:1468;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65" o:spid="_x0000_s1029" type="#_x0000_t32" style="position:absolute;left:3540;top:5165;height:1;width:1299;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66" o:spid="_x0000_s1030" type="#_x0000_t32" style="position:absolute;left:3667;top:5969;height:0;width:1172;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67" o:spid="_x0000_s1031" type="#_x0000_t32" style="position:absolute;left:8191;top:4018;flip:y;height:89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68" o:spid="_x0000_s1032" type="#_x0000_t32" style="position:absolute;left:2629;top:4357;flip:x;height:1;width:464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69" o:spid="_x0000_s1033" type="#_x0000_t32" style="position:absolute;left:5392;top:8028;height:43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70" o:spid="_x0000_s1034" type="#_x0000_t32" style="position:absolute;left:6547;top:8999;height:90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71" o:spid="_x0000_s1035" type="#_x0000_t32" style="position:absolute;left:4432;top:8999;height:90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72" o:spid="_x0000_s1036" type="#_x0000_t32" style="position:absolute;left:2612;top:6202;height:139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Straight Connector 73" o:spid="_x0000_s1037" type="#_x0000_t32" style="position:absolute;left:2612;top:7593;height:0;width:822;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Flowchart: Decision 74" o:spid="_x0000_s1038" type="#_x0000_t110" style="position:absolute;left:1007;top:4643;height:1889;width:327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接件并当场（或5个工作日）作出是否受理决定</w:t>
                    </w:r>
                  </w:p>
                  <w:p/>
                </w:txbxContent>
              </v:textbox>
            </v:shape>
            <v:rect id="Rectangle 75" o:spid="_x0000_s1039" style="position:absolute;left:7272;top:3846;height:796;width:2094;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申请人补全材料</w:t>
                    </w:r>
                  </w:p>
                  <w:p/>
                </w:txbxContent>
              </v:textbox>
            </v:rect>
            <v:rect id="Rectangle 76" o:spid="_x0000_s1040" style="position:absolute;left:4839;top:4913;height:500;width:5362;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材料不全或不符合法定形式的，一次性告知补正材料</w:t>
                    </w:r>
                  </w:p>
                  <w:p/>
                </w:txbxContent>
              </v:textbox>
            </v:rect>
            <v:rect id="Rectangle 77" o:spid="_x0000_s1041" style="position:absolute;left:4839;top:5765;height:906;width:5362;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依法不予受理的，作出不予受理决定，出具不予受理通知书</w:t>
                    </w:r>
                  </w:p>
                  <w:p/>
                </w:txbxContent>
              </v:textbox>
            </v:rect>
            <v:rect id="Rectangle 78" o:spid="_x0000_s1042" style="position:absolute;left:3433;top:7425;height:603;width:4104;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依法应予受理，出具受理单</w:t>
                    </w:r>
                  </w:p>
                  <w:p/>
                </w:txbxContent>
              </v:textbox>
            </v:rect>
            <v:rect id="Rectangle 79" o:spid="_x0000_s1043" style="position:absolute;left:3434;top:8465;height:534;width:4252;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审查报批</w:t>
                    </w:r>
                  </w:p>
                  <w:p/>
                </w:txbxContent>
              </v:textbox>
            </v:rect>
            <v:rect id="Rectangle 80" o:spid="_x0000_s1044" style="position:absolute;left:1771;top:2645;height:1424;width:2744;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before="34"/>
                      <w:rPr>
                        <w:rFonts w:ascii="宋体" w:hAnsi="宋体" w:cs="宋体"/>
                        <w:szCs w:val="21"/>
                      </w:rPr>
                    </w:pPr>
                    <w:r>
                      <w:rPr>
                        <w:rFonts w:hint="eastAsia" w:ascii="宋体" w:hAnsi="宋体" w:cs="宋体"/>
                        <w:szCs w:val="21"/>
                      </w:rPr>
                      <w:t>申请人以现场、邮寄、国家外汇管理局政务服务网上办理系统等提交材料提出书面申请，并提交材料</w:t>
                    </w:r>
                  </w:p>
                  <w:p/>
                </w:txbxContent>
              </v:textbox>
            </v:rect>
            <v:rect id="Rectangle 81" o:spid="_x0000_s1045" style="position:absolute;left:3433;top:9904;height:1172;width:1747;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予以许可，向申请人出具正式公文或备案表</w:t>
                    </w:r>
                  </w:p>
                  <w:p/>
                </w:txbxContent>
              </v:textbox>
            </v:rect>
            <v:rect id="Rectangle 82" o:spid="_x0000_s1046" style="position:absolute;left:5790;top:9904;height:1172;width:1747;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依法作出不予许可决定，并送达</w:t>
                    </w:r>
                  </w:p>
                  <w:p/>
                </w:txbxContent>
              </v:textbox>
            </v:rect>
          </v:group>
        </w:pict>
      </w:r>
    </w:p>
    <w:sectPr>
      <w:footerReference r:id="rId11"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ˎ̥">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6</w:t>
    </w:r>
    <w:r>
      <w:rPr>
        <w:lang w:val="zh-CN"/>
      </w:rPr>
      <w:fldChar w:fldCharType="end"/>
    </w:r>
  </w:p>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7</w: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12E9F"/>
    <w:rsid w:val="00017E6C"/>
    <w:rsid w:val="00022191"/>
    <w:rsid w:val="00023783"/>
    <w:rsid w:val="00041960"/>
    <w:rsid w:val="00042B58"/>
    <w:rsid w:val="00054B00"/>
    <w:rsid w:val="00055270"/>
    <w:rsid w:val="00057F76"/>
    <w:rsid w:val="0006560A"/>
    <w:rsid w:val="00072F8A"/>
    <w:rsid w:val="000750C8"/>
    <w:rsid w:val="00080630"/>
    <w:rsid w:val="00081708"/>
    <w:rsid w:val="00091661"/>
    <w:rsid w:val="00092D53"/>
    <w:rsid w:val="00096CBB"/>
    <w:rsid w:val="00097F7B"/>
    <w:rsid w:val="000B6901"/>
    <w:rsid w:val="000B728B"/>
    <w:rsid w:val="000C15B3"/>
    <w:rsid w:val="000C2B33"/>
    <w:rsid w:val="000D1995"/>
    <w:rsid w:val="000D7478"/>
    <w:rsid w:val="00101BF0"/>
    <w:rsid w:val="001110B5"/>
    <w:rsid w:val="0012271F"/>
    <w:rsid w:val="00130519"/>
    <w:rsid w:val="00135BEE"/>
    <w:rsid w:val="0014667A"/>
    <w:rsid w:val="00154B58"/>
    <w:rsid w:val="00157C64"/>
    <w:rsid w:val="00157E81"/>
    <w:rsid w:val="00170126"/>
    <w:rsid w:val="00177059"/>
    <w:rsid w:val="00181D3E"/>
    <w:rsid w:val="00186BC2"/>
    <w:rsid w:val="00196FAE"/>
    <w:rsid w:val="001A3E49"/>
    <w:rsid w:val="001A72AA"/>
    <w:rsid w:val="001B1E2C"/>
    <w:rsid w:val="001C44C7"/>
    <w:rsid w:val="001D65A2"/>
    <w:rsid w:val="001E1407"/>
    <w:rsid w:val="001F4BD4"/>
    <w:rsid w:val="001F7297"/>
    <w:rsid w:val="002023CA"/>
    <w:rsid w:val="00205D07"/>
    <w:rsid w:val="00212F39"/>
    <w:rsid w:val="00217116"/>
    <w:rsid w:val="00231EED"/>
    <w:rsid w:val="00233841"/>
    <w:rsid w:val="00235F24"/>
    <w:rsid w:val="002417D2"/>
    <w:rsid w:val="00241FE8"/>
    <w:rsid w:val="0024527E"/>
    <w:rsid w:val="00246DE8"/>
    <w:rsid w:val="00253F7B"/>
    <w:rsid w:val="00263773"/>
    <w:rsid w:val="00263929"/>
    <w:rsid w:val="00263B1F"/>
    <w:rsid w:val="00291C17"/>
    <w:rsid w:val="0029313A"/>
    <w:rsid w:val="002933AB"/>
    <w:rsid w:val="002950D9"/>
    <w:rsid w:val="002B0B1C"/>
    <w:rsid w:val="002B3BD0"/>
    <w:rsid w:val="002B598D"/>
    <w:rsid w:val="002B61C1"/>
    <w:rsid w:val="002C5527"/>
    <w:rsid w:val="002E1323"/>
    <w:rsid w:val="002F3868"/>
    <w:rsid w:val="002F54E5"/>
    <w:rsid w:val="00302119"/>
    <w:rsid w:val="00302E87"/>
    <w:rsid w:val="00305850"/>
    <w:rsid w:val="00310261"/>
    <w:rsid w:val="0031063C"/>
    <w:rsid w:val="00343044"/>
    <w:rsid w:val="00344B01"/>
    <w:rsid w:val="00353AC4"/>
    <w:rsid w:val="00360920"/>
    <w:rsid w:val="003616B4"/>
    <w:rsid w:val="003700DA"/>
    <w:rsid w:val="003A57B2"/>
    <w:rsid w:val="003C0E26"/>
    <w:rsid w:val="003C7132"/>
    <w:rsid w:val="003D77A5"/>
    <w:rsid w:val="003E6BF6"/>
    <w:rsid w:val="003F221D"/>
    <w:rsid w:val="003F3097"/>
    <w:rsid w:val="00402AE8"/>
    <w:rsid w:val="00405FE6"/>
    <w:rsid w:val="004105BC"/>
    <w:rsid w:val="00421C27"/>
    <w:rsid w:val="00440A1F"/>
    <w:rsid w:val="00443603"/>
    <w:rsid w:val="00443604"/>
    <w:rsid w:val="004501EA"/>
    <w:rsid w:val="00460458"/>
    <w:rsid w:val="0046792D"/>
    <w:rsid w:val="004767DF"/>
    <w:rsid w:val="00493CCC"/>
    <w:rsid w:val="004A0218"/>
    <w:rsid w:val="004A7840"/>
    <w:rsid w:val="004B545A"/>
    <w:rsid w:val="004B7E80"/>
    <w:rsid w:val="004C457E"/>
    <w:rsid w:val="004C48D5"/>
    <w:rsid w:val="004D03B7"/>
    <w:rsid w:val="004D1436"/>
    <w:rsid w:val="004D57AE"/>
    <w:rsid w:val="005056D4"/>
    <w:rsid w:val="00505F28"/>
    <w:rsid w:val="0051222F"/>
    <w:rsid w:val="00526B2B"/>
    <w:rsid w:val="005310DD"/>
    <w:rsid w:val="005362B0"/>
    <w:rsid w:val="00542447"/>
    <w:rsid w:val="00564312"/>
    <w:rsid w:val="005736E4"/>
    <w:rsid w:val="0057582D"/>
    <w:rsid w:val="005A2981"/>
    <w:rsid w:val="005C6937"/>
    <w:rsid w:val="005C7F02"/>
    <w:rsid w:val="005F0A86"/>
    <w:rsid w:val="005F144A"/>
    <w:rsid w:val="005F1C00"/>
    <w:rsid w:val="0061621E"/>
    <w:rsid w:val="00621907"/>
    <w:rsid w:val="00630AA8"/>
    <w:rsid w:val="00630B2E"/>
    <w:rsid w:val="006310B9"/>
    <w:rsid w:val="00643D2A"/>
    <w:rsid w:val="00664E11"/>
    <w:rsid w:val="00667D08"/>
    <w:rsid w:val="00673B30"/>
    <w:rsid w:val="00696E5D"/>
    <w:rsid w:val="006B5B86"/>
    <w:rsid w:val="006C07A1"/>
    <w:rsid w:val="006C5908"/>
    <w:rsid w:val="006C633E"/>
    <w:rsid w:val="006D56AB"/>
    <w:rsid w:val="006D734F"/>
    <w:rsid w:val="006D74BC"/>
    <w:rsid w:val="006E043F"/>
    <w:rsid w:val="006E19C3"/>
    <w:rsid w:val="006E4695"/>
    <w:rsid w:val="006E4B8B"/>
    <w:rsid w:val="006E5901"/>
    <w:rsid w:val="0071091C"/>
    <w:rsid w:val="00714961"/>
    <w:rsid w:val="00744BD5"/>
    <w:rsid w:val="00745748"/>
    <w:rsid w:val="00750E36"/>
    <w:rsid w:val="00753CB0"/>
    <w:rsid w:val="00755460"/>
    <w:rsid w:val="00761FB7"/>
    <w:rsid w:val="00762107"/>
    <w:rsid w:val="00764CB9"/>
    <w:rsid w:val="00765B05"/>
    <w:rsid w:val="0077269F"/>
    <w:rsid w:val="00785F45"/>
    <w:rsid w:val="0079071F"/>
    <w:rsid w:val="007A2780"/>
    <w:rsid w:val="007A68EA"/>
    <w:rsid w:val="007A77B5"/>
    <w:rsid w:val="007B06FC"/>
    <w:rsid w:val="007B0FEF"/>
    <w:rsid w:val="007B2DB5"/>
    <w:rsid w:val="007B6E4D"/>
    <w:rsid w:val="007D2C11"/>
    <w:rsid w:val="007D6171"/>
    <w:rsid w:val="007D69EA"/>
    <w:rsid w:val="007E2C7B"/>
    <w:rsid w:val="007E411B"/>
    <w:rsid w:val="007F0863"/>
    <w:rsid w:val="007F2F3B"/>
    <w:rsid w:val="007F403A"/>
    <w:rsid w:val="00802307"/>
    <w:rsid w:val="00815107"/>
    <w:rsid w:val="0082168E"/>
    <w:rsid w:val="00821968"/>
    <w:rsid w:val="008471B6"/>
    <w:rsid w:val="00851521"/>
    <w:rsid w:val="0085686A"/>
    <w:rsid w:val="00860878"/>
    <w:rsid w:val="008731FF"/>
    <w:rsid w:val="0088294A"/>
    <w:rsid w:val="0089282A"/>
    <w:rsid w:val="008A4538"/>
    <w:rsid w:val="008A704B"/>
    <w:rsid w:val="008B08D2"/>
    <w:rsid w:val="008B4EE5"/>
    <w:rsid w:val="008B5807"/>
    <w:rsid w:val="008D3737"/>
    <w:rsid w:val="008D5FA0"/>
    <w:rsid w:val="008E2D38"/>
    <w:rsid w:val="008F5724"/>
    <w:rsid w:val="008F5900"/>
    <w:rsid w:val="00902633"/>
    <w:rsid w:val="009027D8"/>
    <w:rsid w:val="0090372F"/>
    <w:rsid w:val="00911E27"/>
    <w:rsid w:val="00911E9A"/>
    <w:rsid w:val="0092129A"/>
    <w:rsid w:val="00925BB2"/>
    <w:rsid w:val="00930C8C"/>
    <w:rsid w:val="009360EA"/>
    <w:rsid w:val="00944984"/>
    <w:rsid w:val="00947C57"/>
    <w:rsid w:val="00951149"/>
    <w:rsid w:val="00960EDB"/>
    <w:rsid w:val="009622DB"/>
    <w:rsid w:val="009664BC"/>
    <w:rsid w:val="00980F02"/>
    <w:rsid w:val="00991B77"/>
    <w:rsid w:val="00997523"/>
    <w:rsid w:val="009A0C5D"/>
    <w:rsid w:val="009C4672"/>
    <w:rsid w:val="009C491B"/>
    <w:rsid w:val="009D0911"/>
    <w:rsid w:val="009D24F8"/>
    <w:rsid w:val="009D688C"/>
    <w:rsid w:val="009F7A36"/>
    <w:rsid w:val="00A249C2"/>
    <w:rsid w:val="00A24FAB"/>
    <w:rsid w:val="00A301E7"/>
    <w:rsid w:val="00A35B56"/>
    <w:rsid w:val="00A42E69"/>
    <w:rsid w:val="00A430E2"/>
    <w:rsid w:val="00A45CA7"/>
    <w:rsid w:val="00A51415"/>
    <w:rsid w:val="00A6014E"/>
    <w:rsid w:val="00A60356"/>
    <w:rsid w:val="00A66F2C"/>
    <w:rsid w:val="00A81DF1"/>
    <w:rsid w:val="00A90EF3"/>
    <w:rsid w:val="00AA7717"/>
    <w:rsid w:val="00AB131E"/>
    <w:rsid w:val="00AB55C5"/>
    <w:rsid w:val="00AB644F"/>
    <w:rsid w:val="00AC2FF7"/>
    <w:rsid w:val="00AC3F5E"/>
    <w:rsid w:val="00AE7ACF"/>
    <w:rsid w:val="00B047AB"/>
    <w:rsid w:val="00B06409"/>
    <w:rsid w:val="00B17D66"/>
    <w:rsid w:val="00B31FD9"/>
    <w:rsid w:val="00B35D3A"/>
    <w:rsid w:val="00B417C3"/>
    <w:rsid w:val="00B422F1"/>
    <w:rsid w:val="00B71531"/>
    <w:rsid w:val="00B7456C"/>
    <w:rsid w:val="00B84131"/>
    <w:rsid w:val="00B8630E"/>
    <w:rsid w:val="00B931F4"/>
    <w:rsid w:val="00B95573"/>
    <w:rsid w:val="00B96395"/>
    <w:rsid w:val="00B979C1"/>
    <w:rsid w:val="00BA2AF8"/>
    <w:rsid w:val="00BB2650"/>
    <w:rsid w:val="00BB5BDC"/>
    <w:rsid w:val="00BB7B76"/>
    <w:rsid w:val="00BC639E"/>
    <w:rsid w:val="00BD233D"/>
    <w:rsid w:val="00BF4EF0"/>
    <w:rsid w:val="00C00CBB"/>
    <w:rsid w:val="00C02E44"/>
    <w:rsid w:val="00C147D2"/>
    <w:rsid w:val="00C2075F"/>
    <w:rsid w:val="00C23799"/>
    <w:rsid w:val="00C274C9"/>
    <w:rsid w:val="00C31E02"/>
    <w:rsid w:val="00C45BC1"/>
    <w:rsid w:val="00C54291"/>
    <w:rsid w:val="00C672C3"/>
    <w:rsid w:val="00C712B2"/>
    <w:rsid w:val="00C94325"/>
    <w:rsid w:val="00C97FED"/>
    <w:rsid w:val="00CA0189"/>
    <w:rsid w:val="00CA1DBB"/>
    <w:rsid w:val="00CA2622"/>
    <w:rsid w:val="00CA7F2C"/>
    <w:rsid w:val="00CA7FF8"/>
    <w:rsid w:val="00CB5DE7"/>
    <w:rsid w:val="00CC068D"/>
    <w:rsid w:val="00CC4922"/>
    <w:rsid w:val="00CD1FF6"/>
    <w:rsid w:val="00CE25C7"/>
    <w:rsid w:val="00CE3335"/>
    <w:rsid w:val="00CE4849"/>
    <w:rsid w:val="00CE5C8E"/>
    <w:rsid w:val="00CE5F49"/>
    <w:rsid w:val="00CF184E"/>
    <w:rsid w:val="00D01626"/>
    <w:rsid w:val="00D33A4D"/>
    <w:rsid w:val="00D33F76"/>
    <w:rsid w:val="00D34E0F"/>
    <w:rsid w:val="00D41047"/>
    <w:rsid w:val="00D41F5E"/>
    <w:rsid w:val="00D43DC0"/>
    <w:rsid w:val="00D54E56"/>
    <w:rsid w:val="00D6407D"/>
    <w:rsid w:val="00D82F31"/>
    <w:rsid w:val="00D93E78"/>
    <w:rsid w:val="00DC6E91"/>
    <w:rsid w:val="00DC7514"/>
    <w:rsid w:val="00DD3845"/>
    <w:rsid w:val="00E04A43"/>
    <w:rsid w:val="00E1687A"/>
    <w:rsid w:val="00E20A2E"/>
    <w:rsid w:val="00E277DE"/>
    <w:rsid w:val="00E27EE9"/>
    <w:rsid w:val="00E3239D"/>
    <w:rsid w:val="00E3254B"/>
    <w:rsid w:val="00E3439B"/>
    <w:rsid w:val="00E42C5F"/>
    <w:rsid w:val="00E65A1B"/>
    <w:rsid w:val="00E72F1F"/>
    <w:rsid w:val="00E934AB"/>
    <w:rsid w:val="00EA06AC"/>
    <w:rsid w:val="00EA08BF"/>
    <w:rsid w:val="00EA24FB"/>
    <w:rsid w:val="00EB3204"/>
    <w:rsid w:val="00EB50BA"/>
    <w:rsid w:val="00EC3D33"/>
    <w:rsid w:val="00ED302A"/>
    <w:rsid w:val="00ED3A42"/>
    <w:rsid w:val="00ED6F1A"/>
    <w:rsid w:val="00EE02BC"/>
    <w:rsid w:val="00EE6970"/>
    <w:rsid w:val="00EF38D0"/>
    <w:rsid w:val="00EF3DDF"/>
    <w:rsid w:val="00EF4A8C"/>
    <w:rsid w:val="00F25B04"/>
    <w:rsid w:val="00F2678C"/>
    <w:rsid w:val="00F27B38"/>
    <w:rsid w:val="00F40278"/>
    <w:rsid w:val="00F41832"/>
    <w:rsid w:val="00F45870"/>
    <w:rsid w:val="00F56988"/>
    <w:rsid w:val="00F620FB"/>
    <w:rsid w:val="00F6571F"/>
    <w:rsid w:val="00F8687E"/>
    <w:rsid w:val="00F93331"/>
    <w:rsid w:val="00F95549"/>
    <w:rsid w:val="00FA1E24"/>
    <w:rsid w:val="00FA24FB"/>
    <w:rsid w:val="00FA632B"/>
    <w:rsid w:val="00FB38EA"/>
    <w:rsid w:val="00FB5E0F"/>
    <w:rsid w:val="00FB6AFF"/>
    <w:rsid w:val="00FC4D8F"/>
    <w:rsid w:val="00FD06D3"/>
    <w:rsid w:val="00FE3157"/>
    <w:rsid w:val="00FE6865"/>
    <w:rsid w:val="00FE6993"/>
    <w:rsid w:val="039F4379"/>
    <w:rsid w:val="082504D9"/>
    <w:rsid w:val="17E57FB8"/>
    <w:rsid w:val="29AF6870"/>
    <w:rsid w:val="2AE76373"/>
    <w:rsid w:val="303B75CF"/>
    <w:rsid w:val="45874ABA"/>
    <w:rsid w:val="47AF20DD"/>
    <w:rsid w:val="53EA4DC7"/>
    <w:rsid w:val="767E60CF"/>
    <w:rsid w:val="7E09503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64"/>
        <o:r id="V:Rule2" type="connector" idref="#Straight Connector 65"/>
        <o:r id="V:Rule3" type="connector" idref="#Straight Connector 66"/>
        <o:r id="V:Rule4" type="connector" idref="#Straight Connector 67"/>
        <o:r id="V:Rule5" type="connector" idref="#Straight Connector 68"/>
        <o:r id="V:Rule6" type="connector" idref="#Straight Connector 69"/>
        <o:r id="V:Rule7" type="connector" idref="#Straight Connector 70"/>
        <o:r id="V:Rule8" type="connector" idref="#Straight Connector 71"/>
        <o:r id="V:Rule9" type="connector" idref="#Straight Connector 72"/>
        <o:r id="V:Rule10" type="connector" idref="#Straight Connector 73"/>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2"/>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3"/>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4"/>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8"/>
    <w:unhideWhenUsed/>
    <w:qFormat/>
    <w:uiPriority w:val="0"/>
    <w:rPr>
      <w:rFonts w:ascii="宋体"/>
      <w:sz w:val="18"/>
      <w:szCs w:val="18"/>
    </w:rPr>
  </w:style>
  <w:style w:type="paragraph" w:styleId="6">
    <w:name w:val="annotation text"/>
    <w:basedOn w:val="1"/>
    <w:link w:val="31"/>
    <w:unhideWhenUsed/>
    <w:qFormat/>
    <w:uiPriority w:val="99"/>
    <w:pPr>
      <w:jc w:val="left"/>
    </w:pPr>
    <w:rPr>
      <w:rFonts w:ascii="Calibri" w:hAnsi="Calibri" w:eastAsia="宋体" w:cs="Times New Roman"/>
    </w:rPr>
  </w:style>
  <w:style w:type="paragraph" w:styleId="7">
    <w:name w:val="Balloon Text"/>
    <w:basedOn w:val="1"/>
    <w:link w:val="29"/>
    <w:unhideWhenUsed/>
    <w:uiPriority w:val="0"/>
    <w:rPr>
      <w:sz w:val="18"/>
      <w:szCs w:val="18"/>
    </w:rPr>
  </w:style>
  <w:style w:type="paragraph" w:styleId="8">
    <w:name w:val="footer"/>
    <w:basedOn w:val="1"/>
    <w:link w:val="28"/>
    <w:unhideWhenUsed/>
    <w:uiPriority w:val="99"/>
    <w:pPr>
      <w:tabs>
        <w:tab w:val="center" w:pos="4153"/>
        <w:tab w:val="right" w:pos="8306"/>
      </w:tabs>
      <w:snapToGrid w:val="0"/>
      <w:jc w:val="left"/>
    </w:pPr>
    <w:rPr>
      <w:sz w:val="18"/>
      <w:szCs w:val="18"/>
    </w:rPr>
  </w:style>
  <w:style w:type="paragraph" w:styleId="9">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6"/>
    <w:semiHidden/>
    <w:qFormat/>
    <w:uiPriority w:val="0"/>
    <w:pPr>
      <w:snapToGrid w:val="0"/>
      <w:jc w:val="left"/>
    </w:pPr>
    <w:rPr>
      <w:rFonts w:ascii="Times New Roman" w:hAnsi="Times New Roman"/>
      <w:sz w:val="18"/>
      <w:szCs w:val="18"/>
    </w:rPr>
  </w:style>
  <w:style w:type="paragraph" w:styleId="11">
    <w:name w:val="HTML Preformatted"/>
    <w:basedOn w:val="1"/>
    <w:link w:val="30"/>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character" w:customStyle="1" w:styleId="27">
    <w:name w:val="页眉 Char"/>
    <w:basedOn w:val="13"/>
    <w:link w:val="9"/>
    <w:uiPriority w:val="99"/>
    <w:rPr>
      <w:sz w:val="18"/>
      <w:szCs w:val="18"/>
    </w:rPr>
  </w:style>
  <w:style w:type="character" w:customStyle="1" w:styleId="28">
    <w:name w:val="页脚 Char"/>
    <w:basedOn w:val="13"/>
    <w:link w:val="8"/>
    <w:uiPriority w:val="99"/>
    <w:rPr>
      <w:sz w:val="18"/>
      <w:szCs w:val="18"/>
    </w:rPr>
  </w:style>
  <w:style w:type="character" w:customStyle="1" w:styleId="29">
    <w:name w:val="批注框文本 Char"/>
    <w:basedOn w:val="13"/>
    <w:link w:val="7"/>
    <w:semiHidden/>
    <w:uiPriority w:val="0"/>
    <w:rPr>
      <w:sz w:val="18"/>
      <w:szCs w:val="18"/>
    </w:rPr>
  </w:style>
  <w:style w:type="character" w:customStyle="1" w:styleId="30">
    <w:name w:val="HTML 预设格式 Char"/>
    <w:basedOn w:val="13"/>
    <w:link w:val="11"/>
    <w:uiPriority w:val="99"/>
    <w:rPr>
      <w:rFonts w:ascii="宋体" w:hAnsi="宋体" w:eastAsia="宋体" w:cs="宋体"/>
      <w:kern w:val="0"/>
      <w:sz w:val="24"/>
      <w:szCs w:val="24"/>
    </w:rPr>
  </w:style>
  <w:style w:type="character" w:customStyle="1" w:styleId="31">
    <w:name w:val="批注文字 Char"/>
    <w:basedOn w:val="13"/>
    <w:link w:val="6"/>
    <w:semiHidden/>
    <w:qFormat/>
    <w:uiPriority w:val="0"/>
    <w:rPr>
      <w:rFonts w:ascii="Calibri" w:hAnsi="Calibri" w:eastAsia="宋体" w:cs="Times New Roman"/>
    </w:rPr>
  </w:style>
  <w:style w:type="character" w:customStyle="1" w:styleId="32">
    <w:name w:val="标题 1 Char"/>
    <w:basedOn w:val="13"/>
    <w:link w:val="2"/>
    <w:qFormat/>
    <w:uiPriority w:val="9"/>
    <w:rPr>
      <w:rFonts w:ascii="黑体" w:hAnsi="黑体" w:eastAsia="黑体" w:cs="宋体"/>
      <w:color w:val="000000"/>
      <w:kern w:val="0"/>
      <w:sz w:val="30"/>
      <w:szCs w:val="30"/>
    </w:rPr>
  </w:style>
  <w:style w:type="character" w:customStyle="1" w:styleId="33">
    <w:name w:val="标题 2 Char"/>
    <w:basedOn w:val="13"/>
    <w:link w:val="3"/>
    <w:qFormat/>
    <w:uiPriority w:val="0"/>
    <w:rPr>
      <w:rFonts w:ascii="Cambria" w:hAnsi="Cambria" w:eastAsia="宋体" w:cs="Times New Roman"/>
      <w:b/>
      <w:bCs/>
      <w:sz w:val="32"/>
      <w:szCs w:val="32"/>
    </w:rPr>
  </w:style>
  <w:style w:type="character" w:customStyle="1" w:styleId="34">
    <w:name w:val="标题 3 Char"/>
    <w:basedOn w:val="13"/>
    <w:link w:val="4"/>
    <w:qFormat/>
    <w:uiPriority w:val="9"/>
    <w:rPr>
      <w:rFonts w:ascii="仿宋_GB2312" w:hAnsi="Calibri" w:eastAsia="仿宋_GB2312" w:cs="Times New Roman"/>
      <w:sz w:val="30"/>
      <w:szCs w:val="30"/>
    </w:rPr>
  </w:style>
  <w:style w:type="character" w:customStyle="1" w:styleId="35">
    <w:name w:val="脚注文本 Char"/>
    <w:basedOn w:val="13"/>
    <w:semiHidden/>
    <w:qFormat/>
    <w:uiPriority w:val="99"/>
    <w:rPr>
      <w:kern w:val="2"/>
      <w:sz w:val="18"/>
      <w:szCs w:val="18"/>
    </w:rPr>
  </w:style>
  <w:style w:type="character" w:customStyle="1" w:styleId="36">
    <w:name w:val="脚注文本 Char1"/>
    <w:basedOn w:val="13"/>
    <w:link w:val="10"/>
    <w:semiHidden/>
    <w:qFormat/>
    <w:uiPriority w:val="0"/>
    <w:rPr>
      <w:rFonts w:ascii="Times New Roman" w:hAnsi="Times New Roman"/>
      <w:sz w:val="18"/>
      <w:szCs w:val="18"/>
    </w:rPr>
  </w:style>
  <w:style w:type="character" w:customStyle="1" w:styleId="37">
    <w:name w:val="标题 4 Char Char"/>
    <w:qFormat/>
    <w:uiPriority w:val="0"/>
    <w:rPr>
      <w:rFonts w:ascii="Calibri" w:hAnsi="Calibri"/>
      <w:b/>
      <w:bCs/>
      <w:sz w:val="28"/>
      <w:szCs w:val="28"/>
      <w:lang w:eastAsia="en-US" w:bidi="en-US"/>
    </w:rPr>
  </w:style>
  <w:style w:type="character" w:customStyle="1" w:styleId="38">
    <w:name w:val="文档结构图 Char"/>
    <w:basedOn w:val="13"/>
    <w:link w:val="5"/>
    <w:qFormat/>
    <w:uiPriority w:val="0"/>
    <w:rPr>
      <w:rFonts w:ascii="宋体"/>
      <w:sz w:val="18"/>
      <w:szCs w:val="18"/>
    </w:rPr>
  </w:style>
  <w:style w:type="character" w:customStyle="1" w:styleId="39">
    <w:name w:val="批注文字 Char1"/>
    <w:basedOn w:val="13"/>
    <w:semiHidden/>
    <w:qFormat/>
    <w:uiPriority w:val="99"/>
    <w:rPr>
      <w:kern w:val="2"/>
      <w:sz w:val="21"/>
      <w:szCs w:val="22"/>
    </w:rPr>
  </w:style>
  <w:style w:type="character" w:customStyle="1" w:styleId="40">
    <w:name w:val="Intense Emphasis"/>
    <w:basedOn w:val="13"/>
    <w:qFormat/>
    <w:uiPriority w:val="21"/>
    <w:rPr>
      <w:b/>
      <w:bCs/>
      <w:i/>
      <w:iCs/>
      <w:color w:val="4F81BD"/>
    </w:rPr>
  </w:style>
  <w:style w:type="character" w:customStyle="1" w:styleId="41">
    <w:name w:val="文档结构图 Char1"/>
    <w:basedOn w:val="13"/>
    <w:semiHidden/>
    <w:qFormat/>
    <w:uiPriority w:val="99"/>
    <w:rPr>
      <w:rFonts w:ascii="宋体" w:eastAsia="宋体"/>
      <w:sz w:val="18"/>
      <w:szCs w:val="18"/>
    </w:rPr>
  </w:style>
  <w:style w:type="character" w:customStyle="1" w:styleId="42">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332</Words>
  <Characters>1897</Characters>
  <Lines>15</Lines>
  <Paragraphs>4</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2020-02-26T12:18:00Z</dcterms:created>
  <dc:creator>裴建君2</dc:creator>
  <cp:lastModifiedBy>揭睿智</cp:lastModifiedBy>
  <cp:lastPrinted>2017-11-24T00:22:00Z</cp:lastPrinted>
  <dcterms:modified xsi:type="dcterms:W3CDTF">2021-04-29T06:08:47Z</dcterms:modified>
  <dc:title>编号：57015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