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Start w:id="8" w:name="_GoBack"/>
      <w:bookmarkEnd w:id="8"/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四、银行合作办理远期结售汇业务市场准入审批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07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1.《中华人民共和国外汇管理条例》（国务院令第 532 号）；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2.《国家外汇管理局关于合作办理远期结售汇业务有关问题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的通知》（汇发[2010]62 号）。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申请人为地方法人银行总行和境内银行分支机构。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1.地方法人银行总行需同时符合以下条件：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42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（1）具有国家外汇管理局江西省分局核准的即期结售汇业务资格，并已开办即期结售汇业务 2 年（含）以上；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42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（2）近 2 年（含）即期结售汇业务经营中未发生重大违规行为；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26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（3）上年度外汇资产季平均余额在等值 2000 万美元（含）以上；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42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（4）近 2 年执行外汇管理规定情况考核等级为 B 级（含）以上；</w:t>
      </w: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2" w:name="page18"/>
      <w:bookmarkEnd w:id="2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（5）具有完善的合作办理远期结售汇业务管理制度；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2.境内银行分支机构需同时符合以下条件：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（1）具有国家外汇管理局江西省分局及其支局核准的即期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结售汇业务资格，并已开办即期结售汇业务 2 年（含）以上；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（2）近 2 年（含）即期结售汇业务经营中未发生重大违规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行为；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（3）近 2 年执行外汇管理规定情况考核等级为 B 级（含）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以上；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（4）取得其总分行（或总社）授权。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1.地方法人银行总行申请材料清单</w:t>
      </w:r>
    </w:p>
    <w:p>
      <w:pPr>
        <w:spacing w:after="0" w:line="135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40"/>
        <w:gridCol w:w="2840"/>
        <w:gridCol w:w="960"/>
        <w:gridCol w:w="460"/>
        <w:gridCol w:w="840"/>
        <w:gridCol w:w="1860"/>
        <w:gridCol w:w="62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700" w:type="dxa"/>
            <w:vMerge w:val="restart"/>
            <w:tcBorders>
              <w:top w:val="single" w:color="auto" w:sz="8" w:space="0"/>
              <w:left w:val="single" w:color="auto" w:sz="8" w:space="0"/>
            </w:tcBorders>
            <w:vAlign w:val="bottom"/>
          </w:tcPr>
          <w:p>
            <w:pPr>
              <w:spacing w:after="0" w:line="274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9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186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6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1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 w:line="271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申请报告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包括：业务操作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规程、内部职责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0" w:type="dxa"/>
            <w:vMerge w:val="restart"/>
            <w:tcBorders>
              <w:left w:val="single" w:color="auto" w:sz="8" w:space="0"/>
            </w:tcBorders>
            <w:vAlign w:val="bottom"/>
          </w:tcPr>
          <w:p>
            <w:pPr>
              <w:spacing w:after="0" w:line="274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合作办理远期结售汇业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分工、统计报告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务相关管理制度</w:t>
            </w: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制度、风险控制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措施、会计核算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制度等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与具备资格银行签订的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 w:line="274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合作协议书范本，范本中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应明确双方的权利和义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 w:line="274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4"/>
                <w:sz w:val="24"/>
                <w:szCs w:val="24"/>
                <w:highlight w:val="none"/>
              </w:rPr>
              <w:t>上年度 4 个季度的外汇资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产负债表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40" w:type="dxa"/>
            <w:gridSpan w:val="3"/>
            <w:vAlign w:val="bottom"/>
          </w:tcPr>
          <w:p>
            <w:pPr>
              <w:spacing w:after="0" w:line="343" w:lineRule="exact"/>
              <w:ind w:left="2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30"/>
                <w:szCs w:val="30"/>
                <w:highlight w:val="none"/>
              </w:rPr>
              <w:t>2.境内银行分支机构申请材料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00" w:type="dxa"/>
            <w:vMerge w:val="restart"/>
            <w:tcBorders>
              <w:left w:val="single" w:color="auto" w:sz="8" w:space="0"/>
            </w:tcBorders>
            <w:vAlign w:val="bottom"/>
          </w:tcPr>
          <w:p>
            <w:pPr>
              <w:spacing w:after="0" w:line="274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1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ind w:left="1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1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 w:line="271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申请报告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00" w:type="dxa"/>
            <w:vMerge w:val="restart"/>
            <w:tcBorders>
              <w:left w:val="single" w:color="auto" w:sz="8" w:space="0"/>
            </w:tcBorders>
            <w:vAlign w:val="bottom"/>
          </w:tcPr>
          <w:p>
            <w:pPr>
              <w:spacing w:after="0" w:line="274" w:lineRule="exact"/>
              <w:ind w:left="2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合作办理远期结售汇业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包括：业务操作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务相关管理制度</w:t>
            </w: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规程、内部职责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70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70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tbl>
      <w:tblPr>
        <w:tblStyle w:val="5"/>
        <w:tblpPr w:leftFromText="180" w:rightFromText="180" w:vertAnchor="page" w:horzAnchor="page" w:tblpX="1702" w:tblpY="2294"/>
        <w:tblOverlap w:val="never"/>
        <w:tblW w:w="8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840"/>
        <w:gridCol w:w="960"/>
        <w:gridCol w:w="460"/>
        <w:gridCol w:w="840"/>
        <w:gridCol w:w="1860"/>
        <w:gridCol w:w="62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分工、统计报告</w:t>
            </w:r>
          </w:p>
        </w:tc>
        <w:tc>
          <w:tcPr>
            <w:tcW w:w="6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制度、风险控制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6"/>
                <w:sz w:val="24"/>
                <w:szCs w:val="24"/>
                <w:highlight w:val="none"/>
              </w:rPr>
              <w:t>措施、会计核算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制度等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与具备资格银行签订的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24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合作协议书范本，范本中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6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应明确双方的权利和义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240"/>
              <w:jc w:val="right"/>
              <w:rPr>
                <w:rFonts w:hint="eastAsia" w:eastAsia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总行（或总社）的授权文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6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18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6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1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23" w:lineRule="exact"/>
        <w:rPr>
          <w:color w:val="auto"/>
          <w:sz w:val="20"/>
          <w:szCs w:val="20"/>
          <w:highlight w:val="none"/>
        </w:rPr>
      </w:pPr>
      <w:bookmarkStart w:id="3" w:name="page19"/>
      <w:bookmarkEnd w:id="3"/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 </w:t>
      </w: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申请人可通过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业务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窗口、邮寄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或国家外管理局政务服务网上</w:t>
      </w: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办理系统等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方式提交材料。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国家外汇管理局江西省分局接受申请窗口：“国家外汇管理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局江西省分局国际收支处”，联系电话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: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0791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-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86613742，地址：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36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江西省南昌市东湖区铁街 25 号，邮政编码 330008。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1.申请人提交申请；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2.决定是否予以受理；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3.不予受理的，出具不予受理通知书；受理的，出具受理通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知书，进行审查报批；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4.不予许可的，出具不予许可通知书。许可的，向申请人出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具备案通知书。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5.材料不全或不符合法定形式的，一次性告知补正材料，并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345" w:lineRule="exact"/>
        <w:rPr>
          <w:color w:val="auto"/>
          <w:sz w:val="20"/>
          <w:szCs w:val="20"/>
          <w:highlight w:val="none"/>
        </w:r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4" w:name="page20"/>
      <w:bookmarkEnd w:id="4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一般程序：申请、受理、审查、出具备案通知书。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自受理之日起 20 个工作日内。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备案通知书。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通过现场告知或电话通知申请人，并通过现场领取或邮寄方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申请人有权依法提出行政审批申请，依法进行投诉、举报、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（十六）办公地址和时间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办公地址:江西省南昌市东湖区铁街 25 号，邮政编码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：</w:t>
      </w:r>
    </w:p>
    <w:p>
      <w:pPr>
        <w:spacing w:after="0" w:line="343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</w:p>
    <w:p>
      <w:pPr>
        <w:spacing w:after="0" w:line="343" w:lineRule="exact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330008。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办公时间：上午:8：30--12:00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206"/>
        <w:jc w:val="right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下午：2:00--5:30（冬季作息时间为2:00--5:00）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（十七）禁止性要求</w:t>
      </w:r>
    </w:p>
    <w:p>
      <w:pPr>
        <w:rPr>
          <w:highlight w:val="none"/>
        </w:rPr>
        <w:sectPr>
          <w:type w:val="continuous"/>
          <w:pgSz w:w="11900" w:h="16838"/>
          <w:pgMar w:top="1420" w:right="1440" w:bottom="662" w:left="1440" w:header="0" w:footer="0" w:gutter="0"/>
          <w:cols w:space="720" w:num="1"/>
        </w:sectPr>
      </w:pPr>
    </w:p>
    <w:p>
      <w:pPr>
        <w:spacing w:after="0" w:line="393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5" w:name="page21"/>
      <w:bookmarkEnd w:id="5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如符合上述条件，不存在不予许可的情况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（十八）咨询途径、公开查询、监督投诉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向各地外汇局进行咨询、进程查询、监督投诉等可通过各地外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汇局官方互联网站的相应栏目进行。网址可通过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"http://www.safe.gov.cn" \h </w:instrText>
      </w:r>
      <w:r>
        <w:rPr>
          <w:highlight w:val="none"/>
        </w:rPr>
        <w:fldChar w:fldCharType="separate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www.safe.gov.cn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fldChar w:fldCharType="end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进行链接，也可通过各外汇局官方互联网站上公布的电话进行。</w:t>
      </w:r>
    </w:p>
    <w:p>
      <w:pPr>
        <w:widowControl/>
        <w:wordWrap/>
        <w:adjustRightInd/>
        <w:snapToGrid/>
        <w:spacing w:line="360" w:lineRule="auto"/>
        <w:ind w:left="360" w:right="0" w:firstLine="600" w:firstLineChars="20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通过国家外汇管理局政务服务网上办理系统提交申请的，可</w:t>
      </w: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在该系统内进行查询。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（十九）申请材料示范文本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（二十）常见错误示例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rFonts w:ascii="仿宋" w:hAnsi="仿宋" w:eastAsia="仿宋" w:cs="仿宋"/>
          <w:color w:val="auto"/>
          <w:sz w:val="29"/>
          <w:szCs w:val="29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申请材料不完全符合规定，例如备案通知书未加盖企业公</w:t>
      </w:r>
    </w:p>
    <w:p>
      <w:pPr>
        <w:spacing w:after="0" w:line="331" w:lineRule="exact"/>
        <w:ind w:left="960"/>
        <w:rPr>
          <w:rFonts w:ascii="仿宋" w:hAnsi="仿宋" w:eastAsia="仿宋" w:cs="仿宋"/>
          <w:color w:val="auto"/>
          <w:sz w:val="29"/>
          <w:szCs w:val="29"/>
          <w:highlight w:val="none"/>
        </w:rPr>
      </w:pPr>
    </w:p>
    <w:p>
      <w:pPr>
        <w:spacing w:after="0" w:line="331" w:lineRule="exact"/>
        <w:rPr>
          <w:rFonts w:ascii="仿宋" w:hAnsi="仿宋" w:eastAsia="仿宋" w:cs="仿宋"/>
          <w:color w:val="auto"/>
          <w:sz w:val="29"/>
          <w:szCs w:val="29"/>
          <w:highlight w:val="none"/>
        </w:rPr>
      </w:pP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章等。</w:t>
      </w:r>
    </w:p>
    <w:p>
      <w:pPr>
        <w:spacing w:after="0" w:line="331" w:lineRule="exact"/>
        <w:ind w:left="960"/>
        <w:rPr>
          <w:rFonts w:ascii="仿宋" w:hAnsi="仿宋" w:eastAsia="仿宋" w:cs="仿宋"/>
          <w:color w:val="auto"/>
          <w:sz w:val="29"/>
          <w:szCs w:val="29"/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31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6" w:name="page22"/>
      <w:bookmarkEnd w:id="6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</w:t>
      </w:r>
    </w:p>
    <w:p>
      <w:pPr>
        <w:spacing w:after="0" w:line="288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30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9" o:spid="_x0000_s1027" type="#_x0000_t75" style="position:absolute;left:0;margin-left:10.05pt;margin-top:48.15pt;height:442.9pt;width:429.35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1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申请人现场提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出书面申请，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并提交材料</w:t>
      </w:r>
    </w:p>
    <w:p>
      <w:pPr>
        <w:spacing w:after="0" w:line="183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600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申请人补全材料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rPr>
          <w:color w:val="auto"/>
          <w:sz w:val="20"/>
          <w:szCs w:val="20"/>
          <w:highlight w:val="none"/>
        </w:rPr>
      </w:pPr>
    </w:p>
    <w:p>
      <w:pPr>
        <w:spacing w:after="0" w:line="48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38"/>
          <w:szCs w:val="38"/>
          <w:highlight w:val="none"/>
          <w:vertAlign w:val="subscript"/>
        </w:rPr>
        <w:t xml:space="preserve">接件并当场（或 </w:t>
      </w:r>
      <w:r>
        <w:rPr>
          <w:rFonts w:ascii="Calibri" w:hAnsi="Calibri" w:eastAsia="Calibri" w:cs="Calibri"/>
          <w:color w:val="auto"/>
          <w:sz w:val="37"/>
          <w:szCs w:val="37"/>
          <w:highlight w:val="none"/>
          <w:vertAlign w:val="subscript"/>
        </w:rPr>
        <w:t xml:space="preserve">5  </w:t>
      </w: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10" o:spid="_x0000_s1028" type="#_x0000_t75" style="height:8pt;width:60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19"/>
          <w:szCs w:val="19"/>
          <w:highlight w:val="none"/>
        </w:rPr>
        <w:t xml:space="preserve"> 材料不全或不符合法定形式的，一次性告知补正材料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个工作日）作出是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否受理决定</w:t>
      </w:r>
    </w:p>
    <w:p>
      <w:pPr>
        <w:spacing w:after="0" w:line="2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3580" w:right="44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依法不予受理的，作出不予受理决定，出具不予受理通知书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1160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11" o:spid="_x0000_s1029" type="#_x0000_t75" style="height:8pt;width:43.1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依法应予受理，出具受理单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3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368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审查报批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29" w:lineRule="exact"/>
        <w:rPr>
          <w:color w:val="auto"/>
          <w:sz w:val="20"/>
          <w:szCs w:val="20"/>
          <w:highlight w:val="none"/>
        </w:rPr>
      </w:pPr>
    </w:p>
    <w:p>
      <w:pPr>
        <w:tabs>
          <w:tab w:val="left" w:pos="4860"/>
        </w:tabs>
        <w:spacing w:after="0" w:line="240" w:lineRule="exact"/>
        <w:ind w:left="7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予以许可的，向申请人出具备案通知书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ab/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依法作出不予许可决定，并送达</w:t>
      </w: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63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  <w:bookmarkStart w:id="7" w:name="page23"/>
      <w:bookmarkEnd w:id="7"/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/>
        <w:ind w:right="6"/>
        <w:jc w:val="both"/>
        <w:rPr>
          <w:color w:val="auto"/>
          <w:sz w:val="20"/>
          <w:szCs w:val="20"/>
          <w:highlight w:val="none"/>
        </w:rPr>
      </w:pPr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2AC04FB"/>
    <w:rsid w:val="05C012DA"/>
    <w:rsid w:val="0665374B"/>
    <w:rsid w:val="069C23F7"/>
    <w:rsid w:val="07B42464"/>
    <w:rsid w:val="09752B41"/>
    <w:rsid w:val="0A3E1B87"/>
    <w:rsid w:val="0BB66944"/>
    <w:rsid w:val="0C1A446B"/>
    <w:rsid w:val="0C1B1EEC"/>
    <w:rsid w:val="1084318B"/>
    <w:rsid w:val="116D1222"/>
    <w:rsid w:val="11DD16DD"/>
    <w:rsid w:val="1237328A"/>
    <w:rsid w:val="12542FA0"/>
    <w:rsid w:val="125C2E04"/>
    <w:rsid w:val="133F139C"/>
    <w:rsid w:val="14CB7975"/>
    <w:rsid w:val="150E5397"/>
    <w:rsid w:val="16213F5B"/>
    <w:rsid w:val="170544B8"/>
    <w:rsid w:val="17527B50"/>
    <w:rsid w:val="18266A9A"/>
    <w:rsid w:val="198E0695"/>
    <w:rsid w:val="1A2A765E"/>
    <w:rsid w:val="1A2F4D99"/>
    <w:rsid w:val="1A406F1E"/>
    <w:rsid w:val="1AA766AD"/>
    <w:rsid w:val="1D060921"/>
    <w:rsid w:val="1D481D98"/>
    <w:rsid w:val="1E2E3C90"/>
    <w:rsid w:val="217B0B7F"/>
    <w:rsid w:val="22130ABC"/>
    <w:rsid w:val="22C25BDF"/>
    <w:rsid w:val="230B1A7F"/>
    <w:rsid w:val="234E6205"/>
    <w:rsid w:val="23F45ED3"/>
    <w:rsid w:val="25A0034A"/>
    <w:rsid w:val="2747517D"/>
    <w:rsid w:val="2BB17E2F"/>
    <w:rsid w:val="2C7C4D94"/>
    <w:rsid w:val="2C920EE4"/>
    <w:rsid w:val="2FF70A50"/>
    <w:rsid w:val="319E1B27"/>
    <w:rsid w:val="31C7380D"/>
    <w:rsid w:val="32133D70"/>
    <w:rsid w:val="3225214E"/>
    <w:rsid w:val="34061166"/>
    <w:rsid w:val="35B6712B"/>
    <w:rsid w:val="36022144"/>
    <w:rsid w:val="38957B7A"/>
    <w:rsid w:val="390C7C7A"/>
    <w:rsid w:val="3AD6356F"/>
    <w:rsid w:val="3AE657AF"/>
    <w:rsid w:val="3B562A5A"/>
    <w:rsid w:val="3BC547A0"/>
    <w:rsid w:val="3C8F2A00"/>
    <w:rsid w:val="3CF411E0"/>
    <w:rsid w:val="3D5877B1"/>
    <w:rsid w:val="3D782142"/>
    <w:rsid w:val="3E3C37E0"/>
    <w:rsid w:val="407B5EF4"/>
    <w:rsid w:val="412133EB"/>
    <w:rsid w:val="413B397D"/>
    <w:rsid w:val="41D7750A"/>
    <w:rsid w:val="420F0B5F"/>
    <w:rsid w:val="4279693D"/>
    <w:rsid w:val="43696F7C"/>
    <w:rsid w:val="44D70EB3"/>
    <w:rsid w:val="45766C45"/>
    <w:rsid w:val="46C50728"/>
    <w:rsid w:val="48492FF8"/>
    <w:rsid w:val="48555A92"/>
    <w:rsid w:val="493276F0"/>
    <w:rsid w:val="49935043"/>
    <w:rsid w:val="4AF20A81"/>
    <w:rsid w:val="4CD8184C"/>
    <w:rsid w:val="4DE578DC"/>
    <w:rsid w:val="4E497676"/>
    <w:rsid w:val="4E8D0FEE"/>
    <w:rsid w:val="4EB458AA"/>
    <w:rsid w:val="4F275969"/>
    <w:rsid w:val="52250C1F"/>
    <w:rsid w:val="526001D5"/>
    <w:rsid w:val="52D12EEC"/>
    <w:rsid w:val="548D0CE0"/>
    <w:rsid w:val="555F1DEF"/>
    <w:rsid w:val="55865082"/>
    <w:rsid w:val="56B95D55"/>
    <w:rsid w:val="577E137C"/>
    <w:rsid w:val="57987942"/>
    <w:rsid w:val="57EB194A"/>
    <w:rsid w:val="58032660"/>
    <w:rsid w:val="58653812"/>
    <w:rsid w:val="5B0D33E2"/>
    <w:rsid w:val="5E765123"/>
    <w:rsid w:val="60804744"/>
    <w:rsid w:val="61430B54"/>
    <w:rsid w:val="645B63B1"/>
    <w:rsid w:val="64CB7144"/>
    <w:rsid w:val="676B166F"/>
    <w:rsid w:val="6AA21861"/>
    <w:rsid w:val="6B2911D8"/>
    <w:rsid w:val="6B2F50E5"/>
    <w:rsid w:val="6C2D43D4"/>
    <w:rsid w:val="6C4C5B50"/>
    <w:rsid w:val="6CA123E8"/>
    <w:rsid w:val="6D5151F0"/>
    <w:rsid w:val="6EAA59EF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86C4C47"/>
    <w:rsid w:val="7B73265C"/>
    <w:rsid w:val="7C156B95"/>
    <w:rsid w:val="7C49489B"/>
    <w:rsid w:val="7D437DF5"/>
    <w:rsid w:val="7D5E45BC"/>
    <w:rsid w:val="7D60606F"/>
    <w:rsid w:val="7D916592"/>
    <w:rsid w:val="7E440F39"/>
    <w:rsid w:val="7E445D14"/>
    <w:rsid w:val="7F00569E"/>
    <w:rsid w:val="7F243DD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2021-04-29T06:08:16Z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