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1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548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48"/>
          <w:szCs w:val="48"/>
          <w:highlight w:val="none"/>
        </w:rPr>
        <w:t>编号：57013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81" w:lineRule="exact"/>
        <w:rPr>
          <w:color w:val="auto"/>
          <w:sz w:val="24"/>
          <w:szCs w:val="24"/>
          <w:highlight w:val="none"/>
        </w:rPr>
      </w:pPr>
    </w:p>
    <w:p>
      <w:pPr>
        <w:spacing w:after="0" w:line="799" w:lineRule="exact"/>
        <w:ind w:left="360" w:right="4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“银行、农村信用社、兑换机构及非金融机构等结汇、售汇业务市场准入、退出审批”行政审批</w:t>
      </w:r>
    </w:p>
    <w:p>
      <w:pPr>
        <w:spacing w:after="0" w:line="348" w:lineRule="exact"/>
        <w:rPr>
          <w:color w:val="auto"/>
          <w:sz w:val="24"/>
          <w:szCs w:val="24"/>
          <w:highlight w:val="none"/>
        </w:rPr>
      </w:pPr>
    </w:p>
    <w:p>
      <w:pPr>
        <w:spacing w:after="0" w:line="594" w:lineRule="exact"/>
        <w:ind w:right="3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服务指南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61" w:lineRule="exact"/>
        <w:rPr>
          <w:color w:val="auto"/>
          <w:sz w:val="24"/>
          <w:szCs w:val="24"/>
          <w:highlight w:val="none"/>
        </w:rPr>
      </w:pP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实施日期：20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  <w:bookmarkStart w:id="11" w:name="_GoBack"/>
      <w:bookmarkEnd w:id="11"/>
    </w:p>
    <w:p>
      <w:pPr>
        <w:spacing w:after="0" w:line="518" w:lineRule="exact"/>
        <w:ind w:left="1820" w:right="1740"/>
        <w:jc w:val="center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发布机构：国家外汇管理局江西省分局</w:t>
      </w:r>
    </w:p>
    <w:p>
      <w:pPr>
        <w:rPr>
          <w:highlight w:val="none"/>
        </w:rPr>
        <w:sectPr>
          <w:footerReference r:id="rId4" w:type="default"/>
          <w:pgSz w:w="12240" w:h="15840"/>
          <w:pgMar w:top="1440" w:right="1440" w:bottom="1440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1" w:name="page2"/>
      <w:bookmarkEnd w:id="1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一、项目信息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项目名称：银行、农村信用社、兑换机构及非金融机构等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结汇、售汇业务市场准入、退出审批；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项目编号：57013；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审批类别：行政许可。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二、适用范围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本指南适用于“银行、农村信用社、兑换机构及非金融机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构结汇、售汇业务市场准入、退出审批”的申请和办理。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三、设定依据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（一）《中华人民共和国外汇管理条例》（国务院令第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号）第二十四条：“金融机构经营或者终止经营结汇、售汇业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务，应当经外汇管理机关批准；经营或者终止经营其他外汇业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务，应当按照职责分工经外汇管理机关或者金融业监督管理机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构批准”；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（二）《中华人民共和国外汇管理条例》（国务院令第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号）第五十三条：“非金融机构经营结汇、售汇业务，应当由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国务院外汇管理部门批准，具体管理办法由国务院外汇管理部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门另行制定”。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四、银行（含农村信用社）即期结售汇业务市场准入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（一）办理依据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308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7"/>
          <w:szCs w:val="27"/>
          <w:highlight w:val="none"/>
        </w:rPr>
        <w:t>1.《中华人民共和国外汇管理条例》（国务院令第 532 号）；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2.《银行办理结售汇业务管理办法》（中国人民银行令</w:t>
      </w:r>
    </w:p>
    <w:p>
      <w:pPr>
        <w:rPr>
          <w:highlight w:val="none"/>
        </w:rPr>
        <w:sectPr>
          <w:pgSz w:w="11900" w:h="16838"/>
          <w:pgMar w:top="1440" w:right="1440" w:bottom="1440" w:left="1440" w:header="0" w:footer="0" w:gutter="0"/>
          <w:cols w:space="720" w:num="1"/>
        </w:sect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2" w:name="page3"/>
      <w:bookmarkEnd w:id="2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[2014]第 2 号）；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3.《国家外汇管理局关于印发〈银行办理结售汇业务管理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办法实施细则〉的通知》（汇发[2014]53 号）。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（二）受理机构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1.地方法人银行总行。向国家外汇管理局江西省分局申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请，如处于市（区）、县，应向所在地国家外汇管理局申请，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并逐级上报至国家外汇管理局江西省分局。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2.银行分支机构。向所在地国家外汇管理局分支局备案。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（三）决定机构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1.地方法人银行总行。决定机构为国家外汇管理局江西省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分局。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2.银行分支机构。决定机构为所在地国家外汇管理局分支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（四）审批数量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无数量限制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（五）办事条件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申请人需同时符合以下条件：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1.具有金融业务资格。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2.具备完善的业务管理制度。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3.具备办理业务所必需的软硬件设备。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4.拥有具备相应业务工作经验的高级管理人员和业务人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员。</w:t>
      </w:r>
    </w:p>
    <w:p>
      <w:pPr>
        <w:rPr>
          <w:highlight w:val="none"/>
        </w:rPr>
        <w:sectPr>
          <w:pgSz w:w="11900" w:h="16838"/>
          <w:pgMar w:top="1440" w:right="1440" w:bottom="1440" w:left="1440" w:header="0" w:footer="0" w:gutter="0"/>
          <w:cols w:space="720" w:num="1"/>
        </w:sect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3" w:name="page4"/>
      <w:bookmarkEnd w:id="3"/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银行需银行业监督管理部门批准外汇业务经营资格的，还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应具备相应的外汇业务经营资格。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（六）申请材料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1.地方法人银行总行申请材料清单</w:t>
      </w:r>
    </w:p>
    <w:p>
      <w:pPr>
        <w:spacing w:after="0" w:line="135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8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2840"/>
        <w:gridCol w:w="980"/>
        <w:gridCol w:w="580"/>
        <w:gridCol w:w="840"/>
        <w:gridCol w:w="1280"/>
        <w:gridCol w:w="60"/>
        <w:gridCol w:w="800"/>
        <w:gridCol w:w="48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6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284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9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</w:t>
            </w:r>
          </w:p>
        </w:tc>
        <w:tc>
          <w:tcPr>
            <w:tcW w:w="5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纸质/</w:t>
            </w:r>
          </w:p>
        </w:tc>
        <w:tc>
          <w:tcPr>
            <w:tcW w:w="1340" w:type="dxa"/>
            <w:gridSpan w:val="2"/>
            <w:vMerge w:val="restart"/>
            <w:tcBorders>
              <w:top w:val="single" w:color="auto" w:sz="8" w:space="0"/>
            </w:tcBorders>
            <w:vAlign w:val="bottom"/>
          </w:tcPr>
          <w:p>
            <w:pPr>
              <w:spacing w:after="0" w:line="274" w:lineRule="exact"/>
              <w:ind w:left="66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8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5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13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办理结售汇业务的申请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报告</w:t>
            </w: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加盖企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《金融许可证》复印件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业公章</w:t>
            </w:r>
          </w:p>
        </w:tc>
        <w:tc>
          <w:tcPr>
            <w:tcW w:w="5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的复印</w:t>
            </w:r>
          </w:p>
        </w:tc>
        <w:tc>
          <w:tcPr>
            <w:tcW w:w="5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6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应至少包括以下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内容：结售汇业务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操作规程、结售汇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业务单证管理制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度、结售汇业务统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计报告制度、结售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办理结售汇业务的内部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汇综合头寸管理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管理规章制度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制度、结售汇业务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会计科目和核算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办法、结售汇业务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内部审计制度和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从业人员岗位责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任制度、结售汇业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务授权管理制度。</w:t>
            </w: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具备办理业务所必需的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软硬件设备的说明材料。</w:t>
            </w: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拥有具备相应业务工作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经验的高级管理人员和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业务人员的说明材料。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需要经银行业监督管理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加盖企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部门批准外汇业务经营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业公章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资格的，还应提交外汇业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的复印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务许可文件的复印件。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20" w:type="dxa"/>
            <w:gridSpan w:val="2"/>
            <w:vAlign w:val="bottom"/>
          </w:tcPr>
          <w:p>
            <w:pPr>
              <w:spacing w:after="0" w:line="343" w:lineRule="exact"/>
              <w:ind w:left="1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30"/>
                <w:szCs w:val="30"/>
                <w:highlight w:val="none"/>
              </w:rPr>
              <w:t>2.银行分行申请材料清单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纸质/</w:t>
            </w:r>
          </w:p>
        </w:tc>
        <w:tc>
          <w:tcPr>
            <w:tcW w:w="12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3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3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5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12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《银行办理即期结售汇</w:t>
            </w:r>
          </w:p>
        </w:tc>
        <w:tc>
          <w:tcPr>
            <w:tcW w:w="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ind w:left="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见附录二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5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tbl>
      <w:tblPr>
        <w:tblStyle w:val="5"/>
        <w:tblpPr w:leftFromText="180" w:rightFromText="180" w:vertAnchor="text" w:horzAnchor="page" w:tblpX="1661" w:tblpY="176"/>
        <w:tblOverlap w:val="never"/>
        <w:tblW w:w="8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200"/>
        <w:gridCol w:w="2840"/>
        <w:gridCol w:w="140"/>
        <w:gridCol w:w="840"/>
        <w:gridCol w:w="160"/>
        <w:gridCol w:w="440"/>
        <w:gridCol w:w="820"/>
        <w:gridCol w:w="860"/>
        <w:gridCol w:w="420"/>
        <w:gridCol w:w="134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60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业务备案表》</w:t>
            </w:r>
          </w:p>
        </w:tc>
        <w:tc>
          <w:tcPr>
            <w:tcW w:w="14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56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办理结售汇业务的申请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14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56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报告</w:t>
            </w: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8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加盖企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gridSpan w:val="2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《金融许可证》复印件</w:t>
            </w:r>
          </w:p>
        </w:tc>
        <w:tc>
          <w:tcPr>
            <w:tcW w:w="98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业公章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14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的复印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gridSpan w:val="2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具备办理业务所必需的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14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软硬件设备的说明材料。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拥有具备相应业务工作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经验的高级管理人员和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14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业务人员的说明材料。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56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1"/>
          <w:wAfter w:w="8420" w:type="dxa"/>
          <w:trHeight w:val="336" w:hRule="atLeast"/>
        </w:trPr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00" w:type="dxa"/>
            <w:gridSpan w:val="7"/>
            <w:vAlign w:val="bottom"/>
          </w:tcPr>
          <w:p>
            <w:pPr>
              <w:spacing w:after="0" w:line="343" w:lineRule="exact"/>
              <w:ind w:left="1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30"/>
                <w:szCs w:val="30"/>
                <w:highlight w:val="none"/>
              </w:rPr>
              <w:t>3.银行支行及下辖机构申请材料清单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</w:trPr>
        <w:tc>
          <w:tcPr>
            <w:tcW w:w="5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60" w:type="dxa"/>
            <w:gridSpan w:val="2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0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</w:t>
            </w:r>
          </w:p>
        </w:tc>
        <w:tc>
          <w:tcPr>
            <w:tcW w:w="4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60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restart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/电</w:t>
            </w:r>
          </w:p>
        </w:tc>
        <w:tc>
          <w:tcPr>
            <w:tcW w:w="8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3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3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28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8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3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56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子</w:t>
            </w: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76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下辖机构可以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840" w:type="dxa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《银行办理即期结售汇业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由支行集中办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务备案表》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理备案手续，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见附录二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加盖企</w:t>
            </w: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840" w:type="dxa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《金融许可证》复印件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业公章</w:t>
            </w: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的复印</w:t>
            </w: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5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62" w:lineRule="exact"/>
              <w:ind w:right="4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56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rPr>
          <w:highlight w:val="none"/>
        </w:rPr>
        <w:sectPr>
          <w:pgSz w:w="11900" w:h="16838"/>
          <w:pgMar w:top="1440" w:right="1440" w:bottom="998" w:left="1440" w:header="0" w:footer="0" w:gutter="0"/>
          <w:cols w:space="720" w:num="1"/>
        </w:sectPr>
      </w:pPr>
    </w:p>
    <w:p>
      <w:pPr>
        <w:spacing w:after="0" w:line="1" w:lineRule="exact"/>
        <w:rPr>
          <w:color w:val="auto"/>
          <w:sz w:val="20"/>
          <w:szCs w:val="20"/>
          <w:highlight w:val="none"/>
        </w:rPr>
      </w:pPr>
      <w:bookmarkStart w:id="4" w:name="page5"/>
      <w:bookmarkEnd w:id="4"/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（七）申请接受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申请人可通过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业务</w:t>
      </w:r>
      <w:r>
        <w:rPr>
          <w:rFonts w:ascii="Times New Roman" w:hAnsi="Times New Roman" w:eastAsia="仿宋_GB2312" w:cs="Times New Roman"/>
          <w:sz w:val="30"/>
          <w:szCs w:val="30"/>
        </w:rPr>
        <w:t>窗口、邮寄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或国家外管理局政务服务网上办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理系统等</w:t>
      </w:r>
      <w:r>
        <w:rPr>
          <w:rFonts w:ascii="Times New Roman" w:hAnsi="Times New Roman" w:eastAsia="仿宋_GB2312" w:cs="Times New Roman"/>
          <w:sz w:val="30"/>
          <w:szCs w:val="30"/>
        </w:rPr>
        <w:t>方式提交材料。</w:t>
      </w:r>
    </w:p>
    <w:p>
      <w:pPr>
        <w:adjustRightInd w:val="0"/>
        <w:snapToGrid w:val="0"/>
        <w:spacing w:line="360" w:lineRule="auto"/>
        <w:ind w:firstLine="600" w:firstLineChars="200"/>
        <w:jc w:val="both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国家外汇管理局江西省分局接受申请窗口：“国家外汇管理局江西省分局国际收支处”，联系电话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:</w:t>
      </w:r>
      <w:r>
        <w:rPr>
          <w:rFonts w:ascii="Times New Roman" w:hAnsi="Times New Roman" w:eastAsia="仿宋_GB2312" w:cs="Times New Roman"/>
          <w:sz w:val="30"/>
          <w:szCs w:val="30"/>
        </w:rPr>
        <w:t>0791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</w:t>
      </w:r>
      <w:r>
        <w:rPr>
          <w:rFonts w:ascii="Times New Roman" w:hAnsi="Times New Roman" w:eastAsia="仿宋_GB2312" w:cs="Times New Roman"/>
          <w:sz w:val="30"/>
          <w:szCs w:val="30"/>
        </w:rPr>
        <w:t>86613742，地址：江西省南昌市东湖区铁街 25 号，邮政编码 330008。</w:t>
      </w:r>
    </w:p>
    <w:p>
      <w:pPr>
        <w:widowControl/>
        <w:wordWrap/>
        <w:adjustRightInd/>
        <w:snapToGrid/>
        <w:spacing w:line="240" w:lineRule="auto"/>
        <w:ind w:left="360" w:right="0" w:firstLine="0" w:firstLineChars="0"/>
        <w:jc w:val="left"/>
        <w:textAlignment w:val="auto"/>
        <w:outlineLvl w:val="9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bookmarkStart w:id="5" w:name="page6"/>
      <w:bookmarkEnd w:id="5"/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（八）基本办理流程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1.申请人提交申请；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2.决定是否予以受理；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3.不予受理的，出具不予受理通知书；受理的，出具受理通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知书，进行审查报批；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4.不予许可的，出具不予许可通知书。许可的，向申请人出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具正式公文或备案表。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5.材料不全或不符合法定形式的，一次性告知补正材料，并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出具《行政许可补正通知书》。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（九）办理方式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一般程序：申请、受理、审查、出具正式公文或备案表。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（十）审批时限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自受理之日起 20 个工作日内。办理过程中所需的现场验收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等，不计入时限。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（十一）审批收费依据及标准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不收费。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（十二）审批结果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正式公文或备案表。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（十三）结果送达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通过现场告知或电话通知申请人，并通过现场领取或邮寄方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式将结果送达。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（十四）申请人权利和义务</w:t>
      </w:r>
    </w:p>
    <w:p>
      <w:pPr>
        <w:spacing w:after="0" w:line="138" w:lineRule="exact"/>
        <w:rPr>
          <w:color w:val="auto"/>
          <w:sz w:val="20"/>
          <w:szCs w:val="20"/>
          <w:highlight w:val="none"/>
        </w:rPr>
      </w:pPr>
      <w:bookmarkStart w:id="6" w:name="page7"/>
      <w:bookmarkEnd w:id="6"/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申请人有权依法提出行政审批申请，依法进行投诉、举报、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复议、诉讼等。申请人有义务保证申请材料完整、真实、准确，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获批后合法合规办理相关业务。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（十五）事项审查类型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前审后批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（十六）办公地址和时间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办公地址:江西省南昌市东湖区铁街 25 号，邮政编码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330008。</w:t>
      </w:r>
    </w:p>
    <w:p>
      <w:pPr>
        <w:spacing w:after="0" w:line="343" w:lineRule="exact"/>
        <w:ind w:left="960"/>
        <w:rPr>
          <w:rFonts w:ascii="仿宋" w:hAnsi="仿宋" w:eastAsia="仿宋" w:cs="仿宋"/>
          <w:color w:val="auto"/>
          <w:sz w:val="30"/>
          <w:szCs w:val="3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办公时间：上午:8：30--12:00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 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下午： 2:00--5:30 （冬季作息时间为2:00--5:00）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（十七）禁止性要求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如符合上述条件，不存在不予许可的情况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（十八）咨询途径、公开查询、监督投诉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向各地外汇局进行咨询、进程查询、监督投诉等可通过各地外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汇局官方互联网站的相应栏目进行。网址可通过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"http://www.safe.gov.cn" \h </w:instrText>
      </w:r>
      <w:r>
        <w:rPr>
          <w:highlight w:val="none"/>
        </w:rPr>
        <w:fldChar w:fldCharType="separate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www.safe.gov.cn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fldChar w:fldCharType="end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进行链接，也可通过各外汇局官方互联网站上公布的电话进行。</w:t>
      </w:r>
    </w:p>
    <w:p>
      <w:pPr>
        <w:widowControl/>
        <w:wordWrap/>
        <w:adjustRightInd/>
        <w:snapToGrid/>
        <w:spacing w:line="360" w:lineRule="auto"/>
        <w:ind w:left="360" w:right="0" w:firstLine="600" w:firstLineChars="20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通过国家外汇管理局政务服务网上办理系统提交申请的，可</w:t>
      </w: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在该系统内进行查询。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（十九）申请材料示范文本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无固定格式，但需要根据总行、分行、支行提供不同的材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料。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（二十）常见错误示例</w:t>
      </w:r>
    </w:p>
    <w:p>
      <w:pPr>
        <w:spacing w:after="0" w:line="163" w:lineRule="exact"/>
        <w:rPr>
          <w:color w:val="auto"/>
          <w:sz w:val="20"/>
          <w:szCs w:val="20"/>
          <w:highlight w:val="none"/>
        </w:rPr>
      </w:pPr>
      <w:bookmarkStart w:id="7" w:name="page8"/>
      <w:bookmarkEnd w:id="7"/>
    </w:p>
    <w:p>
      <w:pPr>
        <w:spacing w:after="0" w:line="465" w:lineRule="exact"/>
        <w:ind w:left="360" w:right="66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申请材料不完全符合规定，例如《金融许可证》复印件未加盖企业公章等。</w:t>
      </w:r>
    </w:p>
    <w:p>
      <w:pPr>
        <w:rPr>
          <w:highlight w:val="none"/>
        </w:rPr>
        <w:sectPr>
          <w:pgSz w:w="11900" w:h="16838"/>
          <w:pgMar w:top="1420" w:right="1440" w:bottom="1440" w:left="1440" w:header="0" w:footer="0" w:gutter="0"/>
          <w:cols w:space="720" w:num="1"/>
        </w:sectPr>
      </w:pPr>
    </w:p>
    <w:p>
      <w:pPr>
        <w:spacing w:after="0" w:line="119" w:lineRule="exact"/>
        <w:rPr>
          <w:color w:val="auto"/>
          <w:sz w:val="20"/>
          <w:szCs w:val="20"/>
          <w:highlight w:val="none"/>
        </w:rPr>
      </w:pPr>
      <w:bookmarkStart w:id="8" w:name="page9"/>
      <w:bookmarkEnd w:id="8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附录一</w:t>
      </w:r>
    </w:p>
    <w:p>
      <w:pPr>
        <w:spacing w:after="0" w:line="288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right="306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基本流程图</w: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1" o:spid="_x0000_s1027" type="#_x0000_t75" style="position:absolute;left:0;margin-left:10.05pt;margin-top:48.15pt;height:442.9pt;width:429.35pt;rotation:0f;z-index:-251658240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</v:shape>
        </w:pic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21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申请人现场提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出书面申请，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并提交材料</w:t>
      </w:r>
    </w:p>
    <w:p>
      <w:pPr>
        <w:spacing w:after="0" w:line="183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600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申请人补全材料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rPr>
          <w:color w:val="auto"/>
          <w:sz w:val="20"/>
          <w:szCs w:val="20"/>
          <w:highlight w:val="none"/>
        </w:rPr>
      </w:pPr>
    </w:p>
    <w:p>
      <w:pPr>
        <w:spacing w:after="0" w:line="48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38"/>
          <w:szCs w:val="38"/>
          <w:highlight w:val="none"/>
          <w:vertAlign w:val="subscript"/>
        </w:rPr>
        <w:t xml:space="preserve">接件并当场（或 </w:t>
      </w:r>
      <w:r>
        <w:rPr>
          <w:rFonts w:ascii="Calibri" w:hAnsi="Calibri" w:eastAsia="Calibri" w:cs="Calibri"/>
          <w:color w:val="auto"/>
          <w:sz w:val="37"/>
          <w:szCs w:val="37"/>
          <w:highlight w:val="none"/>
          <w:vertAlign w:val="subscript"/>
        </w:rPr>
        <w:t xml:space="preserve">5  </w:t>
      </w: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2" o:spid="_x0000_s1028" type="#_x0000_t75" style="height:8pt;width:60.6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19"/>
          <w:szCs w:val="19"/>
          <w:highlight w:val="none"/>
        </w:rPr>
        <w:t xml:space="preserve"> 材料不全或不符合法定形式的，一次性告知补正材料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个工作日）作出是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否受理决定</w:t>
      </w:r>
    </w:p>
    <w:p>
      <w:pPr>
        <w:spacing w:after="0" w:line="2" w:lineRule="exact"/>
        <w:rPr>
          <w:color w:val="auto"/>
          <w:sz w:val="20"/>
          <w:szCs w:val="20"/>
          <w:highlight w:val="none"/>
        </w:rPr>
      </w:pPr>
    </w:p>
    <w:p>
      <w:pPr>
        <w:spacing w:after="0" w:line="261" w:lineRule="exact"/>
        <w:ind w:left="3580" w:right="446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依法不予受理的，作出不予受理决定，出具不予受理通知书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59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1160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3" o:spid="_x0000_s1029" type="#_x0000_t75" style="height:8pt;width:43.1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依法应予受理，出具受理单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3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368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审查报批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59" w:lineRule="exact"/>
        <w:rPr>
          <w:color w:val="auto"/>
          <w:sz w:val="20"/>
          <w:szCs w:val="20"/>
          <w:highlight w:val="none"/>
        </w:rPr>
      </w:pPr>
    </w:p>
    <w:p>
      <w:pPr>
        <w:spacing w:after="0" w:line="261" w:lineRule="exact"/>
        <w:ind w:left="760" w:right="1206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予以许可，向申请人出具正式公文或备 依法作出不予许可决定，并送达案表</w:t>
      </w:r>
    </w:p>
    <w:p>
      <w:pPr>
        <w:rPr>
          <w:highlight w:val="none"/>
        </w:rPr>
        <w:sectPr>
          <w:pgSz w:w="11900" w:h="16838"/>
          <w:pgMar w:top="1440" w:right="1440" w:bottom="1440" w:left="1440" w:header="0" w:footer="0" w:gutter="0"/>
          <w:cols w:space="720" w:num="1"/>
        </w:sectPr>
      </w:pPr>
    </w:p>
    <w:p>
      <w:pPr>
        <w:spacing w:after="0" w:line="119" w:lineRule="exact"/>
        <w:rPr>
          <w:color w:val="auto"/>
          <w:sz w:val="20"/>
          <w:szCs w:val="20"/>
          <w:highlight w:val="none"/>
        </w:rPr>
      </w:pPr>
      <w:bookmarkStart w:id="9" w:name="page10"/>
      <w:bookmarkEnd w:id="9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附录二</w:t>
      </w:r>
    </w:p>
    <w:p>
      <w:pPr>
        <w:spacing w:after="0" w:line="288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900" w:type="dxa"/>
        <w:tblInd w:w="2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1420"/>
        <w:gridCol w:w="1420"/>
        <w:gridCol w:w="1420"/>
        <w:gridCol w:w="1420"/>
        <w:gridCol w:w="142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4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80" w:type="dxa"/>
            <w:gridSpan w:val="4"/>
            <w:vAlign w:val="bottom"/>
          </w:tcPr>
          <w:p>
            <w:pPr>
              <w:spacing w:after="0" w:line="343" w:lineRule="exact"/>
              <w:ind w:left="7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z w:val="30"/>
                <w:szCs w:val="30"/>
                <w:highlight w:val="none"/>
              </w:rPr>
              <w:t>银行办理即期结售汇业务备案表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1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备案银行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营业地址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金融许可证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金融许可证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机构编码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批准机关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金融机构标</w:t>
            </w:r>
          </w:p>
        </w:tc>
        <w:tc>
          <w:tcPr>
            <w:tcW w:w="2840" w:type="dxa"/>
            <w:gridSpan w:val="2"/>
            <w:vAlign w:val="bottom"/>
          </w:tcPr>
          <w:p>
            <w:pPr>
              <w:spacing w:after="0" w:line="272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□已赋码 号码为：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识码</w:t>
            </w:r>
          </w:p>
        </w:tc>
        <w:tc>
          <w:tcPr>
            <w:tcW w:w="1420" w:type="dxa"/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□未赋码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授权经营结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售汇业务的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上级行名称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上级行授权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结售汇业务</w:t>
            </w:r>
          </w:p>
        </w:tc>
        <w:tc>
          <w:tcPr>
            <w:tcW w:w="4260" w:type="dxa"/>
            <w:gridSpan w:val="3"/>
            <w:vAlign w:val="bottom"/>
          </w:tcPr>
          <w:p>
            <w:pPr>
              <w:spacing w:after="0" w:line="271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□对公结售汇业务 □对私结售汇业务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备案类型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银行结售汇</w:t>
            </w:r>
          </w:p>
        </w:tc>
        <w:tc>
          <w:tcPr>
            <w:tcW w:w="4260" w:type="dxa"/>
            <w:gridSpan w:val="3"/>
            <w:vAlign w:val="bottom"/>
          </w:tcPr>
          <w:p>
            <w:pPr>
              <w:spacing w:after="0" w:line="270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□并入上级行报送 上级行名称：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统计数据报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送方式</w:t>
            </w:r>
          </w:p>
        </w:tc>
        <w:tc>
          <w:tcPr>
            <w:tcW w:w="2840" w:type="dxa"/>
            <w:gridSpan w:val="2"/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□本行单独报送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个人外汇业</w:t>
            </w:r>
          </w:p>
        </w:tc>
        <w:tc>
          <w:tcPr>
            <w:tcW w:w="4260" w:type="dxa"/>
            <w:gridSpan w:val="3"/>
            <w:vAlign w:val="bottom"/>
          </w:tcPr>
          <w:p>
            <w:pPr>
              <w:spacing w:after="0" w:line="270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是否已满足网络接入和设备要求：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务监测系统</w:t>
            </w:r>
          </w:p>
        </w:tc>
        <w:tc>
          <w:tcPr>
            <w:tcW w:w="1420" w:type="dxa"/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□是□否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（备案对私</w:t>
            </w:r>
          </w:p>
        </w:tc>
        <w:tc>
          <w:tcPr>
            <w:tcW w:w="4260" w:type="dxa"/>
            <w:gridSpan w:val="3"/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个人外汇业务监测系统使用身份：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结售汇业务</w:t>
            </w:r>
          </w:p>
        </w:tc>
        <w:tc>
          <w:tcPr>
            <w:tcW w:w="4260" w:type="dxa"/>
            <w:gridSpan w:val="3"/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□用上级行代码登录 上级行名称：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需填写）</w:t>
            </w:r>
          </w:p>
        </w:tc>
        <w:tc>
          <w:tcPr>
            <w:tcW w:w="2840" w:type="dxa"/>
            <w:gridSpan w:val="2"/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□用本行代码登录</w:t>
            </w: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职责</w:t>
            </w: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部门</w:t>
            </w: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420" w:type="dxa"/>
            <w:vAlign w:val="bottom"/>
          </w:tcPr>
          <w:p>
            <w:pPr>
              <w:spacing w:after="0" w:line="272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4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2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联系人员</w:t>
            </w: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主管行长</w:t>
            </w: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1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1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14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部门负责人</w:t>
            </w: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业务联系人</w:t>
            </w: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1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4" o:spid="_x0000_s1030" type="#_x0000_t75" style="position:absolute;left:0;margin-left:12.35pt;margin-top:-413.05pt;height:570.1pt;width:426.6pt;rotation:0f;z-index:-251657216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</v:shape>
        </w:pict>
      </w:r>
    </w:p>
    <w:p>
      <w:pPr>
        <w:spacing w:after="0" w:line="26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声明：</w:t>
      </w:r>
    </w:p>
    <w:p>
      <w:pPr>
        <w:spacing w:after="0" w:line="38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540" w:type="dxa"/>
        <w:tblInd w:w="2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0"/>
        <w:gridCol w:w="780"/>
        <w:gridCol w:w="560"/>
        <w:gridCol w:w="1500"/>
        <w:gridCol w:w="88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7620" w:type="dxa"/>
            <w:gridSpan w:val="5"/>
            <w:vAlign w:val="bottom"/>
          </w:tcPr>
          <w:p>
            <w:pPr>
              <w:spacing w:after="0" w:line="274" w:lineRule="exact"/>
              <w:ind w:left="4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以上情况全部属实，如有不真实，愿承担由此引起的法律责任。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4680" w:type="dxa"/>
            <w:gridSpan w:val="2"/>
            <w:vAlign w:val="bottom"/>
          </w:tcPr>
          <w:p>
            <w:pPr>
              <w:spacing w:after="0" w:line="274" w:lineRule="exact"/>
              <w:ind w:left="32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授权银行签章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gridSpan w:val="2"/>
            <w:vAlign w:val="bottom"/>
          </w:tcPr>
          <w:p>
            <w:pPr>
              <w:spacing w:after="0" w:line="274" w:lineRule="exact"/>
              <w:ind w:left="8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备案银行签章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00" w:type="dxa"/>
            <w:vAlign w:val="bottom"/>
          </w:tcPr>
          <w:p>
            <w:pPr>
              <w:spacing w:after="0" w:line="274" w:lineRule="exact"/>
              <w:ind w:left="34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780" w:type="dxa"/>
            <w:vAlign w:val="bottom"/>
          </w:tcPr>
          <w:p>
            <w:pPr>
              <w:spacing w:after="0" w:line="274" w:lineRule="exact"/>
              <w:ind w:left="1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月</w:t>
            </w:r>
          </w:p>
        </w:tc>
        <w:tc>
          <w:tcPr>
            <w:tcW w:w="560" w:type="dxa"/>
            <w:vAlign w:val="bottom"/>
          </w:tcPr>
          <w:p>
            <w:pPr>
              <w:spacing w:after="0" w:line="274" w:lineRule="exac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1500" w:type="dxa"/>
            <w:vAlign w:val="bottom"/>
          </w:tcPr>
          <w:p>
            <w:pPr>
              <w:spacing w:after="0" w:line="274" w:lineRule="exact"/>
              <w:ind w:left="12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880" w:type="dxa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月</w:t>
            </w:r>
          </w:p>
        </w:tc>
        <w:tc>
          <w:tcPr>
            <w:tcW w:w="920" w:type="dxa"/>
            <w:vAlign w:val="bottom"/>
          </w:tcPr>
          <w:p>
            <w:pPr>
              <w:spacing w:after="0" w:line="274" w:lineRule="exact"/>
              <w:ind w:left="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39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7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30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9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00" w:type="dxa"/>
            <w:gridSpan w:val="3"/>
            <w:vAlign w:val="bottom"/>
          </w:tcPr>
          <w:p>
            <w:pPr>
              <w:spacing w:after="0" w:line="274" w:lineRule="exact"/>
              <w:ind w:left="3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国家外汇管理局××分支局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vAlign w:val="bottom"/>
          </w:tcPr>
          <w:p>
            <w:pPr>
              <w:spacing w:after="0" w:line="274" w:lineRule="exact"/>
              <w:ind w:right="7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（签章）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bottom"/>
          </w:tcPr>
          <w:p>
            <w:pPr>
              <w:spacing w:after="0" w:line="274" w:lineRule="exact"/>
              <w:ind w:left="10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880" w:type="dxa"/>
            <w:vAlign w:val="bottom"/>
          </w:tcPr>
          <w:p>
            <w:pPr>
              <w:spacing w:after="0" w:line="274" w:lineRule="exact"/>
              <w:ind w:left="2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月</w:t>
            </w:r>
          </w:p>
        </w:tc>
        <w:tc>
          <w:tcPr>
            <w:tcW w:w="920" w:type="dxa"/>
            <w:vAlign w:val="bottom"/>
          </w:tcPr>
          <w:p>
            <w:pPr>
              <w:spacing w:after="0" w:line="274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spacing w:after="0" w:line="80" w:lineRule="exact"/>
        <w:rPr>
          <w:color w:val="auto"/>
          <w:sz w:val="20"/>
          <w:szCs w:val="20"/>
          <w:highlight w:val="none"/>
        </w:rPr>
      </w:pPr>
    </w:p>
    <w:p>
      <w:pPr>
        <w:spacing w:after="0" w:line="289" w:lineRule="exact"/>
        <w:ind w:left="360" w:right="366"/>
        <w:jc w:val="both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附注：1、本表仅适用于银行分支机构。2、申请办理即期结售汇业务的银行营业网点无行政公章的，可以使用上级行行政公章替代，但其上级行需出具申请行无行政公章的说明材料。附 2、4 同。</w:t>
      </w:r>
    </w:p>
    <w:p>
      <w:pPr>
        <w:rPr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11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10" w:name="page11"/>
      <w:bookmarkEnd w:id="10"/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75" w:lineRule="exact"/>
        <w:rPr>
          <w:color w:val="auto"/>
          <w:sz w:val="20"/>
          <w:szCs w:val="20"/>
          <w:highlight w:val="none"/>
        </w:rPr>
      </w:pPr>
    </w:p>
    <w:p>
      <w:pPr>
        <w:spacing w:after="0"/>
        <w:ind w:right="6"/>
        <w:jc w:val="center"/>
        <w:rPr>
          <w:color w:val="auto"/>
          <w:sz w:val="20"/>
          <w:szCs w:val="20"/>
          <w:highlight w:val="none"/>
        </w:rPr>
      </w:pPr>
    </w:p>
    <w:sectPr>
      <w:type w:val="continuous"/>
      <w:pgSz w:w="11900" w:h="16838"/>
      <w:pgMar w:top="1440" w:right="1440" w:bottom="662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sz w:val="18"/>
        <w:szCs w:val="22"/>
        <w:lang w:val="en-US" w:eastAsia="zh-CN" w:bidi="ar-SA"/>
      </w:rPr>
      <w:pict>
        <v:rect id="文本框 2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222231E"/>
    <w:rsid w:val="02447873"/>
    <w:rsid w:val="044129B8"/>
    <w:rsid w:val="05C012DA"/>
    <w:rsid w:val="0665374B"/>
    <w:rsid w:val="069C23F7"/>
    <w:rsid w:val="07B42464"/>
    <w:rsid w:val="09752B41"/>
    <w:rsid w:val="0A3E1B87"/>
    <w:rsid w:val="0BB66944"/>
    <w:rsid w:val="0C1A446B"/>
    <w:rsid w:val="0C1B1EEC"/>
    <w:rsid w:val="0DB267C2"/>
    <w:rsid w:val="1084318B"/>
    <w:rsid w:val="116D1222"/>
    <w:rsid w:val="11DD16DD"/>
    <w:rsid w:val="1237328A"/>
    <w:rsid w:val="12542FA0"/>
    <w:rsid w:val="125C2E04"/>
    <w:rsid w:val="133F139C"/>
    <w:rsid w:val="14CB7975"/>
    <w:rsid w:val="150E5397"/>
    <w:rsid w:val="16213F5B"/>
    <w:rsid w:val="170544B8"/>
    <w:rsid w:val="17527B50"/>
    <w:rsid w:val="18266A9A"/>
    <w:rsid w:val="198E0695"/>
    <w:rsid w:val="1A2A765E"/>
    <w:rsid w:val="1A2F4D99"/>
    <w:rsid w:val="1A406F1E"/>
    <w:rsid w:val="1D060921"/>
    <w:rsid w:val="1D481D98"/>
    <w:rsid w:val="1E2E3C90"/>
    <w:rsid w:val="217B0B7F"/>
    <w:rsid w:val="22130ABC"/>
    <w:rsid w:val="22C25BDF"/>
    <w:rsid w:val="230B1A7F"/>
    <w:rsid w:val="234E6205"/>
    <w:rsid w:val="23F45ED3"/>
    <w:rsid w:val="25A0034A"/>
    <w:rsid w:val="26BE2B78"/>
    <w:rsid w:val="2747517D"/>
    <w:rsid w:val="2BB17E2F"/>
    <w:rsid w:val="2C7C4D94"/>
    <w:rsid w:val="2C920EE4"/>
    <w:rsid w:val="2FF70A50"/>
    <w:rsid w:val="319E1B27"/>
    <w:rsid w:val="31C7380D"/>
    <w:rsid w:val="32133D70"/>
    <w:rsid w:val="3225214E"/>
    <w:rsid w:val="327C5CA5"/>
    <w:rsid w:val="339121B9"/>
    <w:rsid w:val="34061166"/>
    <w:rsid w:val="35B6712B"/>
    <w:rsid w:val="36022144"/>
    <w:rsid w:val="38957B7A"/>
    <w:rsid w:val="390C7C7A"/>
    <w:rsid w:val="3AE657AF"/>
    <w:rsid w:val="3B562A5A"/>
    <w:rsid w:val="3BC547A0"/>
    <w:rsid w:val="3C8F2A00"/>
    <w:rsid w:val="3CF411E0"/>
    <w:rsid w:val="3D5877B1"/>
    <w:rsid w:val="3DEA4BC5"/>
    <w:rsid w:val="3E3C37E0"/>
    <w:rsid w:val="407B5EF4"/>
    <w:rsid w:val="412133EB"/>
    <w:rsid w:val="413B397D"/>
    <w:rsid w:val="41D7750A"/>
    <w:rsid w:val="420F0B5F"/>
    <w:rsid w:val="4279693D"/>
    <w:rsid w:val="43696F7C"/>
    <w:rsid w:val="45766C45"/>
    <w:rsid w:val="46C50728"/>
    <w:rsid w:val="48492FF8"/>
    <w:rsid w:val="48555A92"/>
    <w:rsid w:val="493276F0"/>
    <w:rsid w:val="49935043"/>
    <w:rsid w:val="4A6D04AA"/>
    <w:rsid w:val="4AF20A81"/>
    <w:rsid w:val="4CD8184C"/>
    <w:rsid w:val="4DE578DC"/>
    <w:rsid w:val="4E1431DE"/>
    <w:rsid w:val="4E497676"/>
    <w:rsid w:val="4E8D0FEE"/>
    <w:rsid w:val="4EB458AA"/>
    <w:rsid w:val="4F275969"/>
    <w:rsid w:val="52250C1F"/>
    <w:rsid w:val="526001D5"/>
    <w:rsid w:val="52D12EEC"/>
    <w:rsid w:val="548D0CE0"/>
    <w:rsid w:val="555F1DEF"/>
    <w:rsid w:val="55865082"/>
    <w:rsid w:val="56B95D55"/>
    <w:rsid w:val="56D55DB8"/>
    <w:rsid w:val="577E137C"/>
    <w:rsid w:val="57987942"/>
    <w:rsid w:val="57EB194A"/>
    <w:rsid w:val="58032660"/>
    <w:rsid w:val="58653812"/>
    <w:rsid w:val="5B0D33E2"/>
    <w:rsid w:val="5E765123"/>
    <w:rsid w:val="5EBB7DA9"/>
    <w:rsid w:val="60804744"/>
    <w:rsid w:val="61430B54"/>
    <w:rsid w:val="645B63B1"/>
    <w:rsid w:val="64CB7144"/>
    <w:rsid w:val="676B166F"/>
    <w:rsid w:val="6AA21861"/>
    <w:rsid w:val="6B2911D8"/>
    <w:rsid w:val="6B2F50E5"/>
    <w:rsid w:val="6C2D43D4"/>
    <w:rsid w:val="6C4C5B50"/>
    <w:rsid w:val="6CA123E8"/>
    <w:rsid w:val="6D5151F0"/>
    <w:rsid w:val="6D7D4CAE"/>
    <w:rsid w:val="6EAA59EF"/>
    <w:rsid w:val="70896BAE"/>
    <w:rsid w:val="70F04383"/>
    <w:rsid w:val="7165714C"/>
    <w:rsid w:val="731F586B"/>
    <w:rsid w:val="73B57148"/>
    <w:rsid w:val="73BD2ED2"/>
    <w:rsid w:val="73DA6307"/>
    <w:rsid w:val="75C42647"/>
    <w:rsid w:val="76F87D58"/>
    <w:rsid w:val="786C4C47"/>
    <w:rsid w:val="7B73265C"/>
    <w:rsid w:val="7C156B95"/>
    <w:rsid w:val="7C49489B"/>
    <w:rsid w:val="7D5E45BC"/>
    <w:rsid w:val="7D60606F"/>
    <w:rsid w:val="7D916592"/>
    <w:rsid w:val="7E445D14"/>
    <w:rsid w:val="7F00569E"/>
    <w:rsid w:val="7F243DD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customXml" Target="../customXml/item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14764</Words>
  <Characters>15348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2020-03-30T11:04:00Z</dcterms:created>
  <dc:creator>Windows User</dc:creator>
  <cp:lastModifiedBy>揭睿智</cp:lastModifiedBy>
  <dcterms:modified xsi:type="dcterms:W3CDTF">2021-04-29T06:08:01Z</dcterms:modified>
  <dc:title>编号：57013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