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10" w:lineRule="exact"/>
        <w:rPr>
          <w:color w:val="auto"/>
          <w:sz w:val="24"/>
          <w:szCs w:val="24"/>
        </w:rPr>
      </w:pPr>
      <w:bookmarkStart w:id="0" w:name="page1"/>
      <w:bookmarkEnd w:id="0"/>
    </w:p>
    <w:p>
      <w:pPr>
        <w:spacing w:after="0" w:line="548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48"/>
          <w:szCs w:val="48"/>
          <w:highlight w:val="none"/>
        </w:rPr>
        <w:t>编号：57013</w:t>
      </w: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81" w:lineRule="exact"/>
        <w:rPr>
          <w:color w:val="auto"/>
          <w:sz w:val="24"/>
          <w:szCs w:val="24"/>
          <w:highlight w:val="none"/>
        </w:rPr>
      </w:pPr>
    </w:p>
    <w:p>
      <w:pPr>
        <w:spacing w:after="0" w:line="799" w:lineRule="exact"/>
        <w:ind w:left="360" w:right="400"/>
        <w:jc w:val="center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52"/>
          <w:szCs w:val="52"/>
          <w:highlight w:val="none"/>
        </w:rPr>
        <w:t>“银行、农村信用社、兑换机构及非金融机构等结汇、售汇业务市场准入、退出审批”行政审批</w:t>
      </w:r>
    </w:p>
    <w:p>
      <w:pPr>
        <w:spacing w:after="0" w:line="348" w:lineRule="exact"/>
        <w:rPr>
          <w:color w:val="auto"/>
          <w:sz w:val="24"/>
          <w:szCs w:val="24"/>
          <w:highlight w:val="none"/>
        </w:rPr>
      </w:pPr>
    </w:p>
    <w:p>
      <w:pPr>
        <w:spacing w:after="0" w:line="594" w:lineRule="exact"/>
        <w:ind w:right="300"/>
        <w:jc w:val="center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52"/>
          <w:szCs w:val="52"/>
          <w:highlight w:val="none"/>
        </w:rPr>
        <w:t>服务指南</w:t>
      </w: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61" w:lineRule="exact"/>
        <w:rPr>
          <w:color w:val="auto"/>
          <w:sz w:val="24"/>
          <w:szCs w:val="24"/>
          <w:highlight w:val="none"/>
        </w:rPr>
      </w:pPr>
    </w:p>
    <w:p>
      <w:pPr>
        <w:spacing w:after="0" w:line="518" w:lineRule="exact"/>
        <w:ind w:left="1820" w:right="1740"/>
        <w:jc w:val="center"/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发布日期：20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21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 xml:space="preserve"> 年</w:t>
      </w:r>
      <w:bookmarkStart w:id="7" w:name="_GoBack"/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4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29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日</w:t>
      </w:r>
      <w:bookmarkEnd w:id="7"/>
    </w:p>
    <w:p>
      <w:pPr>
        <w:spacing w:after="0" w:line="518" w:lineRule="exact"/>
        <w:ind w:left="1820" w:right="1740"/>
        <w:jc w:val="center"/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实施日期：20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21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 xml:space="preserve"> 年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4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29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日</w:t>
      </w:r>
    </w:p>
    <w:p>
      <w:pPr>
        <w:spacing w:after="0" w:line="518" w:lineRule="exact"/>
        <w:ind w:left="1820" w:right="1740"/>
        <w:jc w:val="center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发布机构：国家外汇管理局江西省分局</w:t>
      </w:r>
    </w:p>
    <w:p>
      <w:pPr>
        <w:rPr>
          <w:highlight w:val="none"/>
        </w:rPr>
        <w:sectPr>
          <w:footerReference r:id="rId4" w:type="default"/>
          <w:pgSz w:w="12240" w:h="15840"/>
          <w:pgMar w:top="1440" w:right="1440" w:bottom="1440" w:left="1440" w:header="0" w:footer="0" w:gutter="0"/>
          <w:cols w:space="720" w:num="1"/>
        </w:sectPr>
      </w:pPr>
    </w:p>
    <w:p>
      <w:pPr>
        <w:spacing w:after="0" w:line="125" w:lineRule="exact"/>
        <w:rPr>
          <w:color w:val="auto"/>
          <w:sz w:val="20"/>
          <w:szCs w:val="20"/>
          <w:highlight w:val="none"/>
        </w:rPr>
      </w:pPr>
      <w:bookmarkStart w:id="1" w:name="page2"/>
      <w:bookmarkEnd w:id="1"/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一、项目信息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项目名称：银行、农村信用社、兑换机构及非金融机构等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结汇、售汇业务市场准入、退出审批；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项目编号：57013；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审批类别：行政许可。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二、适用范围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本指南适用于“银行、农村信用社、兑换机构及非金融机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构结汇、售汇业务市场准入、退出审批”的申请和办理。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三、设定依据</w:t>
      </w:r>
    </w:p>
    <w:p>
      <w:pPr>
        <w:spacing w:after="0" w:line="295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（一）《中华人民共和国外汇管理条例》（国务院令第 532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号）第二十四条：“金融机构经营或者终止经营结汇、售汇业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务，应当经外汇管理机关批准；经营或者终止经营其他外汇业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务，应当按照职责分工经外汇管理机关或者金融业监督管理机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构批准”；</w:t>
      </w:r>
    </w:p>
    <w:p>
      <w:pPr>
        <w:spacing w:after="0" w:line="293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（二）《中华人民共和国外汇管理条例》（国务院令第 532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号）第五十三条：“非金融机构经营结汇、售汇业务，应当由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国务院外汇管理部门批准，具体管理办法由国务院外汇管理部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门另行制定”。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四、非金融企业银行间外汇市场准入备案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（一）办理依据</w:t>
      </w:r>
    </w:p>
    <w:p>
      <w:pPr>
        <w:spacing w:after="0" w:line="307" w:lineRule="exact"/>
        <w:rPr>
          <w:color w:val="auto"/>
          <w:sz w:val="20"/>
          <w:szCs w:val="20"/>
          <w:highlight w:val="none"/>
        </w:rPr>
      </w:pPr>
    </w:p>
    <w:p>
      <w:pPr>
        <w:spacing w:after="0" w:line="320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8"/>
          <w:szCs w:val="28"/>
          <w:highlight w:val="none"/>
        </w:rPr>
        <w:t>1.《中华人民共和国外汇管理条例》（国务院令第 532 号）；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2.《中国人民银行关于加快发展外汇市场有关问题的通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知》（银发[2005]202 号）；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3.《国家外汇管理局关于印发〈非金融企业和非银行金融机</w:t>
      </w:r>
    </w:p>
    <w:p>
      <w:pPr>
        <w:spacing w:after="0" w:line="293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构申请银行间即期外汇市场会员资格实施细则（暂行）〉的通知》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（汇发[2005]94 号）。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（二）受理机构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中国外汇交易中心。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（三）决定机构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国家外汇管理局。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（四）审批数量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无数量限制。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（五）办事条件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申请人为非金融企业，需同时满足以下条件：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1.上年度经常项目跨境外汇收支 25 亿美元或者货物贸易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进出口总额 20 亿美元以上；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2.具有 2 名以上从事外汇交易的专业人员；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3.具备与银行间外汇市场联网的电子交易系统；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4.自申请日起前两年内没有重大违反外汇管理法规行为。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（六）申请材料</w:t>
      </w:r>
    </w:p>
    <w:p>
      <w:pPr>
        <w:rPr>
          <w:highlight w:val="none"/>
        </w:rPr>
        <w:sectPr>
          <w:pgSz w:w="11900" w:h="16838"/>
          <w:pgMar w:top="1440" w:right="1440" w:bottom="388" w:left="1440" w:header="0" w:footer="0" w:gutter="0"/>
          <w:cols w:space="720" w:num="1"/>
        </w:sect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tbl>
      <w:tblPr>
        <w:tblStyle w:val="5"/>
        <w:tblW w:w="8780" w:type="dxa"/>
        <w:tblInd w:w="25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0"/>
        <w:gridCol w:w="3120"/>
        <w:gridCol w:w="960"/>
        <w:gridCol w:w="460"/>
        <w:gridCol w:w="840"/>
        <w:gridCol w:w="2000"/>
        <w:gridCol w:w="480"/>
        <w:gridCol w:w="3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56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bookmarkStart w:id="2" w:name="page35"/>
            <w:bookmarkEnd w:id="2"/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序</w:t>
            </w:r>
          </w:p>
        </w:tc>
        <w:tc>
          <w:tcPr>
            <w:tcW w:w="3120" w:type="dxa"/>
            <w:vMerge w:val="restart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提交材料名称</w:t>
            </w:r>
          </w:p>
        </w:tc>
        <w:tc>
          <w:tcPr>
            <w:tcW w:w="9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原件/</w:t>
            </w:r>
          </w:p>
        </w:tc>
        <w:tc>
          <w:tcPr>
            <w:tcW w:w="4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份</w:t>
            </w:r>
          </w:p>
        </w:tc>
        <w:tc>
          <w:tcPr>
            <w:tcW w:w="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纸质/</w:t>
            </w:r>
          </w:p>
        </w:tc>
        <w:tc>
          <w:tcPr>
            <w:tcW w:w="2000" w:type="dxa"/>
            <w:vMerge w:val="restart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48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备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56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号</w:t>
            </w:r>
          </w:p>
        </w:tc>
        <w:tc>
          <w:tcPr>
            <w:tcW w:w="312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9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复印件</w:t>
            </w:r>
          </w:p>
        </w:tc>
        <w:tc>
          <w:tcPr>
            <w:tcW w:w="4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数</w:t>
            </w:r>
          </w:p>
        </w:tc>
        <w:tc>
          <w:tcPr>
            <w:tcW w:w="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电子</w:t>
            </w:r>
          </w:p>
        </w:tc>
        <w:tc>
          <w:tcPr>
            <w:tcW w:w="2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注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56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1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9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" w:hRule="atLeast"/>
        </w:trPr>
        <w:tc>
          <w:tcPr>
            <w:tcW w:w="56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1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9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2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1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2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1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在报告中说明申</w:t>
            </w: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312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申请报告</w:t>
            </w:r>
          </w:p>
        </w:tc>
        <w:tc>
          <w:tcPr>
            <w:tcW w:w="9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原件</w:t>
            </w:r>
          </w:p>
        </w:tc>
        <w:tc>
          <w:tcPr>
            <w:tcW w:w="4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纸质</w:t>
            </w:r>
          </w:p>
        </w:tc>
        <w:tc>
          <w:tcPr>
            <w:tcW w:w="2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请目的、人员配</w:t>
            </w: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56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12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9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备和交易系统等</w:t>
            </w: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1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情况</w:t>
            </w: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" w:hRule="atLeast"/>
        </w:trPr>
        <w:tc>
          <w:tcPr>
            <w:tcW w:w="56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1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9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2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1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上年度经常项目跨境外汇收</w:t>
            </w: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2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包括贸易方式主</w:t>
            </w: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31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支和货物贸易进出口总额等</w:t>
            </w: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原件</w:t>
            </w: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纸质</w:t>
            </w:r>
          </w:p>
        </w:tc>
        <w:tc>
          <w:tcPr>
            <w:tcW w:w="2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要贸易产品主要</w:t>
            </w: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有关情况的报告</w:t>
            </w: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进出口市场等</w:t>
            </w: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" w:hRule="atLeast"/>
        </w:trPr>
        <w:tc>
          <w:tcPr>
            <w:tcW w:w="56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1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9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2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12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上年度外汇收支和结售汇业</w:t>
            </w: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2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包括月度和年度</w:t>
            </w: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312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原件</w:t>
            </w: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纸质</w:t>
            </w:r>
          </w:p>
        </w:tc>
        <w:tc>
          <w:tcPr>
            <w:tcW w:w="2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外汇收支情况和</w:t>
            </w: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1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务情况</w:t>
            </w: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结售汇情况</w:t>
            </w: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  <w:highlight w:val="none"/>
              </w:rPr>
            </w:pPr>
          </w:p>
        </w:tc>
        <w:tc>
          <w:tcPr>
            <w:tcW w:w="31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  <w:highlight w:val="none"/>
              </w:rPr>
            </w:pP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  <w:highlight w:val="none"/>
              </w:rPr>
            </w:pPr>
          </w:p>
        </w:tc>
        <w:tc>
          <w:tcPr>
            <w:tcW w:w="2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  <w:highlight w:val="none"/>
              </w:rPr>
            </w:pP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" w:hRule="atLeast"/>
        </w:trPr>
        <w:tc>
          <w:tcPr>
            <w:tcW w:w="56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1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9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2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1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1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加盖企</w:t>
            </w: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2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1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包括交易操作规</w:t>
            </w: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hint="eastAsia" w:eastAsia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w w:val="99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31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参与银行间即期外汇市场交</w:t>
            </w: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业公章</w:t>
            </w: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纸质</w:t>
            </w:r>
          </w:p>
        </w:tc>
        <w:tc>
          <w:tcPr>
            <w:tcW w:w="2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程、风险管理规</w:t>
            </w: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1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易的内部管理制度</w:t>
            </w: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的复印</w:t>
            </w: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定业务权限管理</w:t>
            </w: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件</w:t>
            </w: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规定等</w:t>
            </w: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" w:hRule="atLeast"/>
        </w:trPr>
        <w:tc>
          <w:tcPr>
            <w:tcW w:w="56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1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9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2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1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9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加盖企</w:t>
            </w: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2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1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对无需集中办理</w:t>
            </w: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1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9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集团内部成员资</w:t>
            </w: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12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企业集团内部外汇资金集中</w:t>
            </w:r>
          </w:p>
        </w:tc>
        <w:tc>
          <w:tcPr>
            <w:tcW w:w="9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业公章</w:t>
            </w: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56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hint="eastAsia" w:eastAsia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w w:val="99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312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9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纸质</w:t>
            </w:r>
          </w:p>
        </w:tc>
        <w:tc>
          <w:tcPr>
            <w:tcW w:w="2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金入市交易的企</w:t>
            </w: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56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1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管理制度</w:t>
            </w: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的复印</w:t>
            </w:r>
          </w:p>
        </w:tc>
        <w:tc>
          <w:tcPr>
            <w:tcW w:w="4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2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1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件</w:t>
            </w: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业集团可不报此</w:t>
            </w: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  <w:highlight w:val="none"/>
              </w:rPr>
            </w:pPr>
          </w:p>
        </w:tc>
        <w:tc>
          <w:tcPr>
            <w:tcW w:w="31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  <w:highlight w:val="none"/>
              </w:rPr>
            </w:pPr>
          </w:p>
        </w:tc>
        <w:tc>
          <w:tcPr>
            <w:tcW w:w="9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  <w:highlight w:val="none"/>
              </w:rPr>
            </w:pPr>
          </w:p>
        </w:tc>
        <w:tc>
          <w:tcPr>
            <w:tcW w:w="2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62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材料</w:t>
            </w: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1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" w:hRule="atLeast"/>
        </w:trPr>
        <w:tc>
          <w:tcPr>
            <w:tcW w:w="56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1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9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2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</w:tbl>
    <w:p>
      <w:pPr>
        <w:spacing w:after="0" w:line="12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（七）申请接受</w:t>
      </w:r>
    </w:p>
    <w:p>
      <w:pPr>
        <w:spacing w:after="0" w:line="295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申请人可通过窗口、邮寄等方式提交材料。中国外汇交易中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心，联系电话（021）68797878。邮寄地址：上海市黄浦区中山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东一路 15 号，邮政编码 200002。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（八）基本办理流程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1.申请人向中国外汇交易中心提出申请，递交申请材料；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2.中国外汇交易中心初审合格后报国家外汇管理局；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3.国家外汇管理局审核并决定是否受理。不予受理的，出</w:t>
      </w:r>
    </w:p>
    <w:p>
      <w:pPr>
        <w:spacing w:after="0" w:line="293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具不予受理通知书；受理的，出具受理通知书，进行审查报批；</w:t>
      </w:r>
    </w:p>
    <w:p>
      <w:pPr>
        <w:rPr>
          <w:highlight w:val="none"/>
        </w:rPr>
        <w:sectPr>
          <w:type w:val="continuous"/>
          <w:pgSz w:w="11900" w:h="16838"/>
          <w:pgMar w:top="1440" w:right="1440" w:bottom="388" w:left="1440" w:header="0" w:footer="0" w:gutter="0"/>
          <w:cols w:space="720" w:num="1"/>
        </w:sect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138" w:lineRule="exact"/>
        <w:rPr>
          <w:color w:val="auto"/>
          <w:sz w:val="20"/>
          <w:szCs w:val="20"/>
          <w:highlight w:val="none"/>
        </w:rPr>
      </w:pPr>
      <w:bookmarkStart w:id="3" w:name="page36"/>
      <w:bookmarkEnd w:id="3"/>
    </w:p>
    <w:p>
      <w:pPr>
        <w:spacing w:after="0" w:line="331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4.不予许可的，出具不予许可通知书。许可的，国家外汇管</w:t>
      </w:r>
    </w:p>
    <w:p>
      <w:pPr>
        <w:spacing w:after="0" w:line="293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理局审核并按程序报批后予以备案，向申请人出具备案通知书。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在特定情况下，非金融企业可以直接向国家外汇管理局提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出申请。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5.材料不全或不符合法定形式的，一次性告知补正材料，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并出具《行政许可补正通知书》。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（九）办理方式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一般程序：申请、受理、审查、出具案通知书。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（十）审批时限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15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个工作日。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（十一）审批收费依据及标准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不收费。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（十二）审批结果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备案通知书。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（十三）结果送达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通过现场告知或电话通知申请人，并通过现场领取或邮寄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方式将结果送达。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（十四）申请人权利和义务</w:t>
      </w:r>
    </w:p>
    <w:p>
      <w:pPr>
        <w:spacing w:after="0" w:line="295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申请人有权依法提出行政审批申请，依法进行投诉、举报、</w:t>
      </w:r>
    </w:p>
    <w:p>
      <w:pPr>
        <w:spacing w:after="0" w:line="293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复议、诉讼等。申请人有义务保证申请材料完整、真实、准确，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获批后合法合规办理相关业务。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（十五）事项审查类型</w:t>
      </w:r>
    </w:p>
    <w:p>
      <w:pPr>
        <w:rPr>
          <w:highlight w:val="none"/>
        </w:rPr>
        <w:sectPr>
          <w:type w:val="continuous"/>
          <w:pgSz w:w="11900" w:h="16838"/>
          <w:pgMar w:top="1420" w:right="1440" w:bottom="388" w:left="1440" w:header="0" w:footer="0" w:gutter="0"/>
          <w:cols w:space="720" w:num="1"/>
        </w:sect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127" w:lineRule="exact"/>
        <w:rPr>
          <w:color w:val="auto"/>
          <w:sz w:val="20"/>
          <w:szCs w:val="20"/>
          <w:highlight w:val="none"/>
        </w:rPr>
      </w:pPr>
      <w:bookmarkStart w:id="4" w:name="page37"/>
      <w:bookmarkEnd w:id="4"/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前审后批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（十六）禁止性要求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如符合上述条件，不存在不予许可的情况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（十七）申请材料示范文本</w:t>
      </w:r>
    </w:p>
    <w:p>
      <w:pPr>
        <w:spacing w:after="0" w:line="295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无固定格式，但需要根据总行、分行、支行提供不同的材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料。</w:t>
      </w:r>
    </w:p>
    <w:p>
      <w:pPr>
        <w:rPr>
          <w:highlight w:val="none"/>
        </w:rPr>
        <w:sectPr>
          <w:type w:val="continuous"/>
          <w:pgSz w:w="11900" w:h="16838"/>
          <w:pgMar w:top="1440" w:right="1440" w:bottom="388" w:left="1440" w:header="0" w:footer="0" w:gutter="0"/>
          <w:cols w:space="720" w:num="1"/>
        </w:sect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119" w:lineRule="exact"/>
        <w:rPr>
          <w:color w:val="auto"/>
          <w:sz w:val="20"/>
          <w:szCs w:val="20"/>
          <w:highlight w:val="none"/>
        </w:rPr>
      </w:pPr>
      <w:bookmarkStart w:id="5" w:name="page38"/>
      <w:bookmarkEnd w:id="5"/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附录</w:t>
      </w:r>
    </w:p>
    <w:p>
      <w:pPr>
        <w:spacing w:after="0" w:line="299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right="286"/>
        <w:jc w:val="center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29"/>
          <w:szCs w:val="29"/>
          <w:highlight w:val="none"/>
        </w:rPr>
        <w:t>基本流程图</w:t>
      </w:r>
    </w:p>
    <w:p>
      <w:pPr>
        <w:spacing w:after="0" w:line="20" w:lineRule="exact"/>
        <w:rPr>
          <w:color w:val="auto"/>
          <w:sz w:val="20"/>
          <w:szCs w:val="20"/>
          <w:highlight w:val="none"/>
        </w:rPr>
      </w:pPr>
      <w:r>
        <w:rPr>
          <w:rFonts w:ascii="Calibri" w:hAnsi="Calibri" w:eastAsia="宋体" w:cs="黑体"/>
          <w:color w:val="auto"/>
          <w:sz w:val="20"/>
          <w:szCs w:val="20"/>
          <w:highlight w:val="none"/>
          <w:lang w:val="en-US" w:eastAsia="zh-CN" w:bidi="ar-SA"/>
        </w:rPr>
        <w:pict>
          <v:shape id="Picture 16" o:spid="_x0000_s1027" type="#_x0000_t75" style="position:absolute;left:0;margin-left:18pt;margin-top:13.55pt;height:440.95pt;width:427.45pt;rotation:0f;z-index:-251658240;" o:ole="f" fillcolor="#FFFFFF" filled="f" o:preferrelative="t" stroked="f" coordorigin="0,0" coordsize="21600,21600" o:allowincell="f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</v:shape>
        </w:pict>
      </w:r>
    </w:p>
    <w:p>
      <w:pPr>
        <w:rPr>
          <w:highlight w:val="none"/>
        </w:rPr>
        <w:sectPr>
          <w:pgSz w:w="11900" w:h="16838"/>
          <w:pgMar w:top="1440" w:right="1440" w:bottom="662" w:left="1440" w:header="0" w:footer="0" w:gutter="0"/>
          <w:cols w:space="720" w:num="1"/>
        </w:sect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/>
        <w:ind w:right="6"/>
        <w:jc w:val="both"/>
        <w:rPr>
          <w:color w:val="auto"/>
          <w:sz w:val="20"/>
          <w:szCs w:val="20"/>
          <w:highlight w:val="none"/>
        </w:rPr>
      </w:pPr>
      <w:bookmarkStart w:id="6" w:name="page46"/>
      <w:bookmarkEnd w:id="6"/>
    </w:p>
    <w:sectPr>
      <w:type w:val="continuous"/>
      <w:pgSz w:w="11900" w:h="16838"/>
      <w:pgMar w:top="1440" w:right="1440" w:bottom="662" w:left="144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  <w:r>
      <w:rPr>
        <w:rFonts w:ascii="Calibri" w:hAnsi="Calibri" w:eastAsia="宋体" w:cs="黑体"/>
        <w:sz w:val="18"/>
        <w:szCs w:val="22"/>
        <w:lang w:val="en-US" w:eastAsia="zh-CN" w:bidi="ar-SA"/>
      </w:rPr>
      <w:pict>
        <v:rect id="文本框 21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2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000000"/>
    <w:rsid w:val="0222231E"/>
    <w:rsid w:val="02447873"/>
    <w:rsid w:val="05C012DA"/>
    <w:rsid w:val="0665374B"/>
    <w:rsid w:val="069C23F7"/>
    <w:rsid w:val="07B42464"/>
    <w:rsid w:val="08CE17D2"/>
    <w:rsid w:val="09752B41"/>
    <w:rsid w:val="0A3E1B87"/>
    <w:rsid w:val="0BB66944"/>
    <w:rsid w:val="0C1A446B"/>
    <w:rsid w:val="0C1B1EEC"/>
    <w:rsid w:val="1084318B"/>
    <w:rsid w:val="116D1222"/>
    <w:rsid w:val="11DD16DD"/>
    <w:rsid w:val="1237328A"/>
    <w:rsid w:val="12542FA0"/>
    <w:rsid w:val="125C2E04"/>
    <w:rsid w:val="133F139C"/>
    <w:rsid w:val="14CB7975"/>
    <w:rsid w:val="150E5397"/>
    <w:rsid w:val="16213F5B"/>
    <w:rsid w:val="170544B8"/>
    <w:rsid w:val="17527B50"/>
    <w:rsid w:val="18266A9A"/>
    <w:rsid w:val="198E0695"/>
    <w:rsid w:val="1A2A765E"/>
    <w:rsid w:val="1A2F4D99"/>
    <w:rsid w:val="1A406F1E"/>
    <w:rsid w:val="1D060921"/>
    <w:rsid w:val="1D481D98"/>
    <w:rsid w:val="1E2E3C90"/>
    <w:rsid w:val="217B0B7F"/>
    <w:rsid w:val="22130ABC"/>
    <w:rsid w:val="22C25BDF"/>
    <w:rsid w:val="230B1A7F"/>
    <w:rsid w:val="234E6205"/>
    <w:rsid w:val="23F45ED3"/>
    <w:rsid w:val="25A0034A"/>
    <w:rsid w:val="2747517D"/>
    <w:rsid w:val="2BB17E2F"/>
    <w:rsid w:val="2C7C4D94"/>
    <w:rsid w:val="2C920EE4"/>
    <w:rsid w:val="2FF70A50"/>
    <w:rsid w:val="319E1B27"/>
    <w:rsid w:val="31C7380D"/>
    <w:rsid w:val="32133D70"/>
    <w:rsid w:val="3225214E"/>
    <w:rsid w:val="34061166"/>
    <w:rsid w:val="35B6712B"/>
    <w:rsid w:val="36022144"/>
    <w:rsid w:val="38957B7A"/>
    <w:rsid w:val="390C7C7A"/>
    <w:rsid w:val="3AE657AF"/>
    <w:rsid w:val="3B562A5A"/>
    <w:rsid w:val="3BC547A0"/>
    <w:rsid w:val="3C8F2A00"/>
    <w:rsid w:val="3CF411E0"/>
    <w:rsid w:val="3D5877B1"/>
    <w:rsid w:val="3E3C37E0"/>
    <w:rsid w:val="407B5EF4"/>
    <w:rsid w:val="412133EB"/>
    <w:rsid w:val="413B397D"/>
    <w:rsid w:val="41D7750A"/>
    <w:rsid w:val="420F0B5F"/>
    <w:rsid w:val="4279693D"/>
    <w:rsid w:val="43696F7C"/>
    <w:rsid w:val="44D70EB3"/>
    <w:rsid w:val="45766C45"/>
    <w:rsid w:val="46C50728"/>
    <w:rsid w:val="48492FF8"/>
    <w:rsid w:val="48555A92"/>
    <w:rsid w:val="493276F0"/>
    <w:rsid w:val="49935043"/>
    <w:rsid w:val="4AF20A81"/>
    <w:rsid w:val="4C24021F"/>
    <w:rsid w:val="4CD8184C"/>
    <w:rsid w:val="4DE578DC"/>
    <w:rsid w:val="4E497676"/>
    <w:rsid w:val="4E8D0FEE"/>
    <w:rsid w:val="4EB458AA"/>
    <w:rsid w:val="4F275969"/>
    <w:rsid w:val="52250C1F"/>
    <w:rsid w:val="526001D5"/>
    <w:rsid w:val="52D12EEC"/>
    <w:rsid w:val="548D0CE0"/>
    <w:rsid w:val="555F1DEF"/>
    <w:rsid w:val="55865082"/>
    <w:rsid w:val="56B95D55"/>
    <w:rsid w:val="577E137C"/>
    <w:rsid w:val="57987942"/>
    <w:rsid w:val="57EB194A"/>
    <w:rsid w:val="58032660"/>
    <w:rsid w:val="58653812"/>
    <w:rsid w:val="5B0D33E2"/>
    <w:rsid w:val="5E765123"/>
    <w:rsid w:val="60804744"/>
    <w:rsid w:val="61430B54"/>
    <w:rsid w:val="61FA79AC"/>
    <w:rsid w:val="645B63B1"/>
    <w:rsid w:val="64CB7144"/>
    <w:rsid w:val="676B166F"/>
    <w:rsid w:val="6AA21861"/>
    <w:rsid w:val="6B2911D8"/>
    <w:rsid w:val="6B2F50E5"/>
    <w:rsid w:val="6C2D43D4"/>
    <w:rsid w:val="6C4C5B50"/>
    <w:rsid w:val="6CA123E8"/>
    <w:rsid w:val="6D5151F0"/>
    <w:rsid w:val="6EAA59EF"/>
    <w:rsid w:val="70896BAE"/>
    <w:rsid w:val="70F04383"/>
    <w:rsid w:val="7165714C"/>
    <w:rsid w:val="731F586B"/>
    <w:rsid w:val="73B57148"/>
    <w:rsid w:val="73BD2ED2"/>
    <w:rsid w:val="73DA6307"/>
    <w:rsid w:val="75C42647"/>
    <w:rsid w:val="76F87D58"/>
    <w:rsid w:val="786C4C47"/>
    <w:rsid w:val="7B73265C"/>
    <w:rsid w:val="7C156B95"/>
    <w:rsid w:val="7C49489B"/>
    <w:rsid w:val="7D5E45BC"/>
    <w:rsid w:val="7D60606F"/>
    <w:rsid w:val="7D916592"/>
    <w:rsid w:val="7E445D14"/>
    <w:rsid w:val="7F00569E"/>
    <w:rsid w:val="7F243DD0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黑体"/>
      <w:sz w:val="22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49</Pages>
  <Words>14764</Words>
  <Characters>15348</Characters>
  <Lines>1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2020-03-30T11:04:00Z</dcterms:created>
  <dc:creator>Windows User</dc:creator>
  <cp:lastModifiedBy>揭睿智</cp:lastModifiedBy>
  <dcterms:modified xsi:type="dcterms:W3CDTF">2021-04-29T06:07:24Z</dcterms:modified>
  <dc:title>编号：57013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