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00"/>
        <w:jc w:val="both"/>
        <w:rPr>
          <w:rFonts w:ascii="Times New Roman" w:hAnsi="Times New Roman" w:eastAsia="黑体" w:cs="Times New Roman"/>
          <w:sz w:val="48"/>
          <w:szCs w:val="48"/>
        </w:rPr>
      </w:pPr>
      <w:r>
        <w:rPr>
          <w:rFonts w:ascii="Times New Roman" w:hAnsi="Times New Roman" w:eastAsia="黑体" w:cs="Times New Roman"/>
          <w:sz w:val="48"/>
          <w:szCs w:val="48"/>
        </w:rPr>
        <w:t>编号：570</w:t>
      </w: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>12</w:t>
      </w:r>
      <w:r>
        <w:rPr>
          <w:rFonts w:ascii="Times New Roman" w:hAnsi="Times New Roman" w:eastAsia="黑体" w:cs="Times New Roman"/>
          <w:sz w:val="48"/>
          <w:szCs w:val="48"/>
        </w:rPr>
        <w:t>-</w:t>
      </w: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 xml:space="preserve">1 </w:t>
      </w:r>
      <w:r>
        <w:rPr>
          <w:rFonts w:ascii="Times New Roman" w:hAnsi="Times New Roman" w:eastAsia="黑体" w:cs="Times New Roman"/>
          <w:sz w:val="44"/>
          <w:szCs w:val="44"/>
        </w:rPr>
        <w:t xml:space="preserve">  </w:t>
      </w:r>
      <w:r>
        <w:rPr>
          <w:rFonts w:ascii="Times New Roman" w:hAnsi="Times New Roman" w:eastAsia="黑体" w:cs="Times New Roman"/>
          <w:sz w:val="48"/>
          <w:szCs w:val="48"/>
        </w:rPr>
        <w:t xml:space="preserve">   </w:t>
      </w: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 xml:space="preserve">  </w:t>
      </w:r>
      <w:r>
        <w:rPr>
          <w:rFonts w:ascii="Times New Roman" w:hAnsi="Times New Roman" w:eastAsia="黑体" w:cs="Times New Roman"/>
          <w:sz w:val="48"/>
          <w:szCs w:val="48"/>
        </w:rPr>
        <w:t xml:space="preserve">      </w:t>
      </w:r>
      <w:r>
        <w:rPr>
          <w:rFonts w:ascii="Times New Roman" w:hAnsi="Times New Roman" w:eastAsia="黑体" w:cs="Times New Roman"/>
          <w:kern w:val="2"/>
          <w:sz w:val="48"/>
          <w:szCs w:val="48"/>
          <w:lang w:val="en-US" w:eastAsia="zh-CN" w:bidi="ar-SA"/>
        </w:rPr>
        <w:drawing>
          <wp:inline distT="0" distB="0" distL="114300" distR="114300">
            <wp:extent cx="1087755" cy="796925"/>
            <wp:effectExtent l="0" t="0" r="1714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sz w:val="52"/>
          <w:szCs w:val="52"/>
        </w:rPr>
      </w:pPr>
    </w:p>
    <w:p>
      <w:pPr>
        <w:ind w:right="300"/>
        <w:jc w:val="center"/>
        <w:rPr>
          <w:rFonts w:hint="eastAsia"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>“</w:t>
      </w:r>
      <w:r>
        <w:rPr>
          <w:rFonts w:hint="eastAsia" w:ascii="Times New Roman" w:hAnsi="Times New Roman" w:eastAsia="黑体" w:cs="Times New Roman"/>
          <w:sz w:val="52"/>
          <w:szCs w:val="52"/>
        </w:rPr>
        <w:t>外保内贷境外担</w:t>
      </w:r>
      <w:bookmarkStart w:id="0" w:name="_GoBack"/>
      <w:bookmarkEnd w:id="0"/>
      <w:r>
        <w:rPr>
          <w:rFonts w:hint="eastAsia" w:ascii="Times New Roman" w:hAnsi="Times New Roman" w:eastAsia="黑体" w:cs="Times New Roman"/>
          <w:sz w:val="52"/>
          <w:szCs w:val="52"/>
        </w:rPr>
        <w:t>保</w:t>
      </w:r>
    </w:p>
    <w:p>
      <w:pPr>
        <w:ind w:right="300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hint="eastAsia" w:ascii="Times New Roman" w:hAnsi="Times New Roman" w:eastAsia="黑体" w:cs="Times New Roman"/>
          <w:sz w:val="52"/>
          <w:szCs w:val="52"/>
        </w:rPr>
        <w:t>履约款结汇核准</w:t>
      </w:r>
      <w:r>
        <w:rPr>
          <w:rFonts w:ascii="Times New Roman" w:hAnsi="Times New Roman" w:eastAsia="黑体" w:cs="Times New Roman"/>
          <w:sz w:val="52"/>
          <w:szCs w:val="52"/>
        </w:rPr>
        <w:t>”</w:t>
      </w:r>
    </w:p>
    <w:p>
      <w:pPr>
        <w:ind w:right="300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>行政审批服务指南</w:t>
      </w: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发布机构：国家外汇管理局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湖南省分局</w:t>
      </w:r>
    </w:p>
    <w:p>
      <w:pPr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  <w:br w:type="page"/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56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  <w:t>外保内贷境外担保履约款结汇核准办事指南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办理依据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20" w:firstLineChars="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《中华人民共和国外汇管理条例》（国务院令第532号）；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20" w:firstLineChars="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《国家外汇管理局关于发布&lt;跨境担保外汇管理规定&gt;的通知》（汇发</w:t>
      </w:r>
      <w:r>
        <w:rPr>
          <w:rFonts w:hint="eastAsia" w:ascii="宋体" w:hAnsi="宋体" w:eastAsia="宋体" w:cs="宋体"/>
          <w:sz w:val="30"/>
          <w:szCs w:val="30"/>
        </w:rPr>
        <w:t>〔</w:t>
      </w:r>
      <w:r>
        <w:rPr>
          <w:rFonts w:ascii="Times New Roman" w:hAnsi="Times New Roman" w:eastAsia="仿宋_GB2312" w:cs="Times New Roman"/>
          <w:sz w:val="30"/>
          <w:szCs w:val="30"/>
        </w:rPr>
        <w:t>2014</w:t>
      </w:r>
      <w:r>
        <w:rPr>
          <w:rFonts w:hint="eastAsia" w:ascii="宋体" w:hAnsi="宋体" w:eastAsia="宋体" w:cs="宋体"/>
          <w:sz w:val="30"/>
          <w:szCs w:val="30"/>
        </w:rPr>
        <w:t>〕</w:t>
      </w:r>
      <w:r>
        <w:rPr>
          <w:rFonts w:ascii="Times New Roman" w:hAnsi="Times New Roman" w:eastAsia="仿宋_GB2312" w:cs="Times New Roman"/>
          <w:sz w:val="30"/>
          <w:szCs w:val="30"/>
        </w:rPr>
        <w:t>29号）；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20" w:firstLineChars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其他相关法规。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ascii="Times New Roman" w:hAnsi="Times New Roman" w:eastAsia="黑体" w:cs="Times New Roman"/>
          <w:sz w:val="30"/>
          <w:szCs w:val="30"/>
        </w:rPr>
        <w:t>受理机构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和决定机构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国家外汇管理局湖南省分局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服务对象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办理外保内贷履约的金融机构，如担保履约资金与担保项下债务提款币种不一致而需要办理结汇的；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0" w:leftChars="0" w:firstLine="420" w:firstLineChars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金融机构注册地为长沙（不含浏阳）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审批数量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无数量限制。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办事条件</w:t>
      </w:r>
    </w:p>
    <w:p>
      <w:pPr>
        <w:widowControl/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金融机构办理外保内贷履约，如担保履约资金与担保项下债务提款币种不一致而需要办理结汇的，由其分行或总行/总部汇总自身及下属分支机构的担保履约款结汇申请后，向其所在地外汇局集中提出申请。</w:t>
      </w:r>
    </w:p>
    <w:p>
      <w:pPr>
        <w:widowControl/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禁止性要求：如符合上述条件，不存在不予许可的情况。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申请材料</w:t>
      </w:r>
    </w:p>
    <w:tbl>
      <w:tblPr>
        <w:tblStyle w:val="13"/>
        <w:tblW w:w="8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70"/>
        <w:gridCol w:w="992"/>
        <w:gridCol w:w="567"/>
        <w:gridCol w:w="850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97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提交材料名称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原件/复印件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份数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纸质/电子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书面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申请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加盖公章的原件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纸质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外保内贷业务合同（或合同简明条款）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原件及加盖公章的复印件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纸质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验原件，留存加盖公章的复印件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外保内贷境外担保履约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/结汇资金来源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相关真实性证明材料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原件及加盖公章的复印件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纸质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验原件，留存加盖公章的复印件</w:t>
            </w:r>
          </w:p>
        </w:tc>
      </w:tr>
    </w:tbl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七、申请接受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申请人可通过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国家外汇管理局湖南省分局资本项目管理处</w:t>
      </w:r>
      <w:r>
        <w:rPr>
          <w:rFonts w:ascii="Times New Roman" w:hAnsi="Times New Roman" w:eastAsia="仿宋_GB2312" w:cs="Times New Roman"/>
          <w:sz w:val="30"/>
          <w:szCs w:val="30"/>
        </w:rPr>
        <w:t>业务窗口提交材料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八、基本办理流程</w:t>
      </w:r>
    </w:p>
    <w:p>
      <w:pPr>
        <w:tabs>
          <w:tab w:val="left" w:pos="615"/>
        </w:tabs>
        <w:adjustRightInd w:val="0"/>
        <w:snapToGrid w:val="0"/>
        <w:spacing w:line="360" w:lineRule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ab/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（一）</w:t>
      </w:r>
      <w:r>
        <w:rPr>
          <w:rFonts w:ascii="Times New Roman" w:hAnsi="Times New Roman" w:eastAsia="仿宋_GB2312" w:cs="Times New Roman"/>
          <w:sz w:val="30"/>
          <w:szCs w:val="30"/>
        </w:rPr>
        <w:t>申请人提交申请；</w:t>
      </w:r>
    </w:p>
    <w:p>
      <w:pPr>
        <w:adjustRightInd w:val="0"/>
        <w:snapToGrid w:val="0"/>
        <w:spacing w:line="360" w:lineRule="auto"/>
        <w:ind w:firstLine="6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（二）</w:t>
      </w:r>
      <w:r>
        <w:rPr>
          <w:rFonts w:ascii="Times New Roman" w:hAnsi="Times New Roman" w:eastAsia="仿宋_GB2312" w:cs="Times New Roman"/>
          <w:sz w:val="30"/>
          <w:szCs w:val="30"/>
        </w:rPr>
        <w:t>决定是否予以受理；</w:t>
      </w:r>
    </w:p>
    <w:p>
      <w:pPr>
        <w:adjustRightInd w:val="0"/>
        <w:snapToGrid w:val="0"/>
        <w:spacing w:line="360" w:lineRule="auto"/>
        <w:ind w:firstLine="600"/>
        <w:jc w:val="left"/>
        <w:outlineLvl w:val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（三）</w:t>
      </w:r>
      <w:r>
        <w:rPr>
          <w:rFonts w:ascii="Times New Roman" w:hAnsi="Times New Roman" w:eastAsia="仿宋_GB2312" w:cs="Times New Roman"/>
          <w:sz w:val="30"/>
          <w:szCs w:val="30"/>
        </w:rPr>
        <w:t>不予受理的，出具不予受理通知书；</w:t>
      </w:r>
    </w:p>
    <w:p>
      <w:pPr>
        <w:adjustRightInd w:val="0"/>
        <w:snapToGrid w:val="0"/>
        <w:spacing w:line="360" w:lineRule="auto"/>
        <w:ind w:firstLine="6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（四）</w:t>
      </w:r>
      <w:r>
        <w:rPr>
          <w:rFonts w:ascii="Times New Roman" w:hAnsi="Times New Roman" w:eastAsia="仿宋_GB2312" w:cs="Times New Roman"/>
          <w:sz w:val="30"/>
          <w:szCs w:val="30"/>
        </w:rPr>
        <w:t>材料不全或不符合法定形式的，一次性告知补正材料，并出具《行政审批补正材料通知书》；根据申请材料及补正情况，予以受理的，出具受理通知书，按程序进行审核；</w:t>
      </w:r>
    </w:p>
    <w:p>
      <w:pPr>
        <w:adjustRightInd w:val="0"/>
        <w:snapToGrid w:val="0"/>
        <w:spacing w:line="360" w:lineRule="auto"/>
        <w:ind w:firstLine="6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（五）</w:t>
      </w:r>
      <w:r>
        <w:rPr>
          <w:rFonts w:ascii="Times New Roman" w:hAnsi="Times New Roman" w:eastAsia="仿宋_GB2312" w:cs="Times New Roman"/>
          <w:sz w:val="30"/>
          <w:szCs w:val="30"/>
        </w:rPr>
        <w:t>不予许可的，出具不予许可通知书；许可的，向申请人出具相关业务办理凭证（包括业务登记凭证、核准文件、备案确认等）。</w:t>
      </w:r>
    </w:p>
    <w:p>
      <w:pPr>
        <w:adjustRightInd w:val="0"/>
        <w:snapToGrid w:val="0"/>
        <w:spacing w:line="360" w:lineRule="auto"/>
        <w:ind w:firstLine="600"/>
        <w:jc w:val="left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九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办理方式</w:t>
      </w:r>
    </w:p>
    <w:p>
      <w:pPr>
        <w:adjustRightInd w:val="0"/>
        <w:snapToGrid w:val="0"/>
        <w:spacing w:line="360" w:lineRule="auto"/>
        <w:ind w:firstLine="6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一般程序：申请、告知补正、受理、审核、办理登记或不予许可、出具相关业务办理凭证。</w:t>
      </w:r>
    </w:p>
    <w:p>
      <w:pPr>
        <w:adjustRightInd w:val="0"/>
        <w:snapToGrid w:val="0"/>
        <w:spacing w:line="360" w:lineRule="auto"/>
        <w:ind w:firstLine="600" w:firstLineChars="200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审批时限</w:t>
      </w:r>
    </w:p>
    <w:p>
      <w:pPr>
        <w:adjustRightInd w:val="0"/>
        <w:snapToGrid w:val="0"/>
        <w:spacing w:line="360" w:lineRule="auto"/>
        <w:ind w:firstLine="585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申请人提交材料齐备之日起20个工作日内。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 w:cs="Times New Roman"/>
          <w:sz w:val="30"/>
        </w:rPr>
      </w:pPr>
      <w:r>
        <w:rPr>
          <w:rFonts w:ascii="Times New Roman" w:hAnsi="Times New Roman" w:eastAsia="黑体" w:cs="Times New Roman"/>
          <w:sz w:val="30"/>
        </w:rPr>
        <w:t>十一</w:t>
      </w:r>
      <w:r>
        <w:rPr>
          <w:rFonts w:hint="eastAsia" w:ascii="Times New Roman" w:hAnsi="Times New Roman" w:eastAsia="黑体" w:cs="Times New Roman"/>
          <w:sz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</w:rPr>
        <w:t>审批收费依据及标准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 w:cs="Times New Roman"/>
          <w:sz w:val="30"/>
        </w:rPr>
      </w:pPr>
      <w:r>
        <w:rPr>
          <w:rFonts w:ascii="Times New Roman" w:hAnsi="Times New Roman" w:eastAsia="仿宋_GB2312" w:cs="Times New Roman"/>
          <w:sz w:val="30"/>
        </w:rPr>
        <w:t>不收费。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 w:cs="Times New Roman"/>
          <w:sz w:val="30"/>
        </w:rPr>
      </w:pPr>
      <w:r>
        <w:rPr>
          <w:rFonts w:ascii="Times New Roman" w:hAnsi="Times New Roman" w:eastAsia="黑体" w:cs="Times New Roman"/>
          <w:sz w:val="30"/>
        </w:rPr>
        <w:t>十二</w:t>
      </w:r>
      <w:r>
        <w:rPr>
          <w:rFonts w:hint="eastAsia" w:ascii="Times New Roman" w:hAnsi="Times New Roman" w:eastAsia="黑体" w:cs="Times New Roman"/>
          <w:sz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</w:rPr>
        <w:t>审批结果</w:t>
      </w:r>
    </w:p>
    <w:p>
      <w:pPr>
        <w:adjustRightInd w:val="0"/>
        <w:snapToGrid w:val="0"/>
        <w:spacing w:line="360" w:lineRule="auto"/>
        <w:ind w:firstLine="585"/>
        <w:rPr>
          <w:rFonts w:ascii="Times New Roman" w:hAnsi="Times New Roman" w:eastAsia="仿宋_GB2312" w:cs="Times New Roman"/>
          <w:sz w:val="30"/>
        </w:rPr>
      </w:pPr>
      <w:r>
        <w:rPr>
          <w:rFonts w:ascii="Times New Roman" w:hAnsi="Times New Roman" w:eastAsia="仿宋_GB2312" w:cs="Times New Roman"/>
          <w:sz w:val="30"/>
        </w:rPr>
        <w:t>出具相关业务办理凭证。</w:t>
      </w:r>
    </w:p>
    <w:p>
      <w:pPr>
        <w:adjustRightInd w:val="0"/>
        <w:snapToGrid w:val="0"/>
        <w:spacing w:line="360" w:lineRule="auto"/>
        <w:ind w:firstLine="6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十三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结果送达</w:t>
      </w:r>
    </w:p>
    <w:p>
      <w:pPr>
        <w:adjustRightInd w:val="0"/>
        <w:snapToGrid w:val="0"/>
        <w:spacing w:line="360" w:lineRule="auto"/>
        <w:ind w:firstLine="6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通过现场告知或电话等方式通知申请人，并通过现场领取或通过邮寄等方式将结果送达。</w:t>
      </w:r>
    </w:p>
    <w:p>
      <w:pPr>
        <w:adjustRightInd w:val="0"/>
        <w:snapToGrid w:val="0"/>
        <w:spacing w:line="360" w:lineRule="auto"/>
        <w:ind w:firstLine="6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十四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申请人权利和义务</w:t>
      </w:r>
    </w:p>
    <w:p>
      <w:pPr>
        <w:adjustRightInd w:val="0"/>
        <w:snapToGrid w:val="0"/>
        <w:spacing w:line="360" w:lineRule="auto"/>
        <w:ind w:firstLine="600"/>
        <w:rPr>
          <w:rFonts w:ascii="Times New Roman" w:hAnsi="Times New Roman" w:eastAsia="仿宋_GB2312" w:cs="Times New Roman"/>
          <w:sz w:val="30"/>
        </w:rPr>
      </w:pPr>
      <w:r>
        <w:rPr>
          <w:rFonts w:ascii="Times New Roman" w:hAnsi="Times New Roman" w:eastAsia="仿宋_GB2312" w:cs="Times New Roman"/>
          <w:sz w:val="30"/>
        </w:rPr>
        <w:t>申请人有权依法提出行政审批申请，依法进行投诉、举报、复议、诉讼等。申请人有义务保证申请材料完整、真实、准确，获批后合法合规办理相关业务，重要信息发生变更按规定及时报备，全面、及时、准确报送相关数据信息等。</w:t>
      </w:r>
    </w:p>
    <w:p>
      <w:pPr>
        <w:adjustRightInd w:val="0"/>
        <w:snapToGrid w:val="0"/>
        <w:spacing w:line="360" w:lineRule="auto"/>
        <w:ind w:firstLine="600"/>
        <w:rPr>
          <w:rFonts w:hint="eastAsia" w:ascii="Times New Roman" w:hAnsi="Times New Roman" w:eastAsia="黑体" w:cs="Times New Roman"/>
          <w:sz w:val="30"/>
        </w:rPr>
      </w:pPr>
      <w:r>
        <w:rPr>
          <w:rFonts w:ascii="Times New Roman" w:hAnsi="Times New Roman" w:eastAsia="黑体" w:cs="Times New Roman"/>
          <w:sz w:val="30"/>
        </w:rPr>
        <w:t>十五</w:t>
      </w:r>
      <w:r>
        <w:rPr>
          <w:rFonts w:hint="eastAsia" w:ascii="Times New Roman" w:hAnsi="Times New Roman" w:eastAsia="黑体" w:cs="Times New Roman"/>
          <w:sz w:val="30"/>
          <w:lang w:eastAsia="zh-CN"/>
        </w:rPr>
        <w:t>、</w:t>
      </w:r>
      <w:r>
        <w:rPr>
          <w:rFonts w:hint="eastAsia" w:ascii="Times New Roman" w:hAnsi="Times New Roman" w:eastAsia="黑体" w:cs="Times New Roman"/>
          <w:sz w:val="30"/>
        </w:rPr>
        <w:t>办理地点、时间及联系方式</w:t>
      </w:r>
    </w:p>
    <w:p>
      <w:pPr>
        <w:adjustRightInd w:val="0"/>
        <w:snapToGrid w:val="0"/>
        <w:spacing w:line="360" w:lineRule="auto"/>
        <w:ind w:firstLine="600"/>
        <w:rPr>
          <w:rFonts w:hint="eastAsia" w:ascii="Times New Roman" w:hAnsi="Times New Roman" w:eastAsia="仿宋_GB2312" w:cs="Times New Roman"/>
          <w:sz w:val="30"/>
        </w:rPr>
      </w:pPr>
      <w:r>
        <w:rPr>
          <w:rFonts w:hint="eastAsia" w:ascii="Times New Roman" w:hAnsi="Times New Roman" w:eastAsia="仿宋_GB2312" w:cs="Times New Roman"/>
          <w:sz w:val="30"/>
        </w:rPr>
        <w:t>办公地址：长沙市芙蓉区蔡锷中路2号B座809室。</w:t>
      </w:r>
    </w:p>
    <w:p>
      <w:pPr>
        <w:adjustRightInd w:val="0"/>
        <w:snapToGrid w:val="0"/>
        <w:spacing w:line="360" w:lineRule="auto"/>
        <w:ind w:firstLine="600"/>
        <w:rPr>
          <w:rFonts w:hint="eastAsia" w:ascii="Times New Roman" w:hAnsi="Times New Roman" w:eastAsia="仿宋_GB2312" w:cs="Times New Roman"/>
          <w:sz w:val="30"/>
        </w:rPr>
      </w:pPr>
      <w:r>
        <w:rPr>
          <w:rFonts w:hint="eastAsia" w:ascii="Times New Roman" w:hAnsi="Times New Roman" w:eastAsia="仿宋_GB2312" w:cs="Times New Roman"/>
          <w:sz w:val="30"/>
        </w:rPr>
        <w:t>办公时间：5月1日-9月30日：8:30-12:00；14:00-17:00;其他日期：8:30-12:00；14:30-17:30（法定节假日除外）。</w:t>
      </w:r>
    </w:p>
    <w:p>
      <w:pPr>
        <w:adjustRightInd w:val="0"/>
        <w:snapToGrid w:val="0"/>
        <w:spacing w:line="360" w:lineRule="auto"/>
        <w:ind w:firstLine="600"/>
        <w:rPr>
          <w:rFonts w:hint="eastAsia" w:ascii="Times New Roman" w:hAnsi="Times New Roman" w:eastAsia="仿宋_GB2312" w:cs="Times New Roman"/>
          <w:sz w:val="30"/>
        </w:rPr>
      </w:pPr>
      <w:r>
        <w:rPr>
          <w:rFonts w:hint="eastAsia" w:ascii="Times New Roman" w:hAnsi="Times New Roman" w:eastAsia="仿宋_GB2312" w:cs="Times New Roman"/>
          <w:sz w:val="30"/>
        </w:rPr>
        <w:t>联系电话：0731-84301</w:t>
      </w:r>
      <w:r>
        <w:rPr>
          <w:rFonts w:hint="eastAsia" w:ascii="Times New Roman" w:hAnsi="Times New Roman" w:eastAsia="仿宋_GB2312" w:cs="Times New Roman"/>
          <w:sz w:val="30"/>
          <w:lang w:val="en-US" w:eastAsia="zh-CN"/>
        </w:rPr>
        <w:t>611</w:t>
      </w:r>
      <w:r>
        <w:rPr>
          <w:rFonts w:hint="eastAsia" w:ascii="Times New Roman" w:hAnsi="Times New Roman" w:eastAsia="仿宋_GB2312" w:cs="Times New Roman"/>
          <w:sz w:val="30"/>
        </w:rPr>
        <w:t>。</w:t>
      </w:r>
    </w:p>
    <w:p>
      <w:pPr>
        <w:adjustRightInd w:val="0"/>
        <w:snapToGrid w:val="0"/>
        <w:spacing w:line="360" w:lineRule="auto"/>
        <w:ind w:firstLine="600"/>
        <w:rPr>
          <w:rFonts w:hint="eastAsia" w:ascii="Times New Roman" w:hAnsi="Times New Roman" w:eastAsia="仿宋_GB2312" w:cs="Times New Roman"/>
          <w:sz w:val="30"/>
        </w:rPr>
      </w:pPr>
      <w:r>
        <w:rPr>
          <w:rFonts w:hint="eastAsia" w:ascii="Times New Roman" w:hAnsi="Times New Roman" w:eastAsia="仿宋_GB2312" w:cs="Times New Roman"/>
          <w:sz w:val="30"/>
        </w:rPr>
        <w:t>通讯地址：长沙市芙蓉区蔡锷中路2号中国人民银行长沙中心支行资本项目管理处。</w:t>
      </w:r>
    </w:p>
    <w:p>
      <w:pPr>
        <w:adjustRightInd w:val="0"/>
        <w:snapToGrid w:val="0"/>
        <w:spacing w:line="360" w:lineRule="auto"/>
        <w:ind w:firstLine="600"/>
        <w:rPr>
          <w:rFonts w:ascii="Times New Roman" w:hAnsi="Times New Roman" w:eastAsia="仿宋_GB2312" w:cs="Times New Roman"/>
          <w:sz w:val="30"/>
        </w:rPr>
      </w:pPr>
      <w:r>
        <w:rPr>
          <w:rFonts w:hint="eastAsia" w:ascii="Times New Roman" w:hAnsi="Times New Roman" w:eastAsia="仿宋_GB2312" w:cs="Times New Roman"/>
          <w:sz w:val="30"/>
        </w:rPr>
        <w:t>邮政编码：410005。</w:t>
      </w:r>
    </w:p>
    <w:p>
      <w:pPr>
        <w:adjustRightInd w:val="0"/>
        <w:snapToGrid w:val="0"/>
        <w:spacing w:line="360" w:lineRule="auto"/>
        <w:ind w:firstLine="600"/>
        <w:rPr>
          <w:rFonts w:ascii="Times New Roman" w:hAnsi="Times New Roman" w:eastAsia="仿宋_GB2312" w:cs="Times New Roman"/>
          <w:sz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ind w:right="3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附录一</w:t>
      </w: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pict>
          <v:group id="Group 1360" o:spid="_x0000_s1026" o:spt="203" style="position:absolute;left:0pt;margin-left:-11.45pt;margin-top:30.8pt;height:586.05pt;width:446.05pt;z-index:252265472;mso-width-relative:page;mso-height-relative:page;" coordsize="8921,11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">
            <o:lock v:ext="edit"/>
            <v:rect id="Rectangle 1361" o:spid="_x0000_s1027" o:spt="1" style="position:absolute;left:2908;top:8319;height:534;width:2985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t>审核</w:t>
                    </w:r>
                  </w:p>
                </w:txbxContent>
              </v:textbox>
            </v:rect>
            <v:shape id="AutoShape 1362" o:spid="_x0000_s1028" o:spt="116" type="#_x0000_t116" style="position:absolute;left:4420;top:10681;height:1037;width:3675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UB8QA&#10;AADbAAAADwAAAGRycy9kb3ducmV2LnhtbESPT2sCMRTE7wW/Q3hCL0WzWhFZjbIsFD0Ipf65PzbP&#10;3cXkZUlSd/32TaHQ4zAzv2E2u8Ea8SAfWscKZtMMBHHldMu1gsv5Y7ICESKyRuOYFDwpwG47etlg&#10;rl3PX/Q4xVokCIccFTQxdrmUoWrIYpi6jjh5N+ctxiR9LbXHPsGtkfMsW0qLLaeFBjsqG6rup2+r&#10;4PNoSm9K6vfl83q4XBfF23FZKPU6Hoo1iEhD/A//tQ9aweIdfr+k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IlAfEAAAA2wAAAA8AAAAAAAAAAAAAAAAAmAIAAGRycy9k&#10;b3ducmV2LnhtbFBLBQYAAAAABAAEAPUAAACJAw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依法作出不予许可决定，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并送达</w:t>
                    </w:r>
                  </w:p>
                </w:txbxContent>
              </v:textbox>
            </v:shape>
            <v:shape id="AutoShape 1363" o:spid="_x0000_s1029" o:spt="116" type="#_x0000_t116" style="position:absolute;left:695;top:10663;height:1058;width:3461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EMc8MA&#10;AADbAAAADwAAAGRycy9kb3ducmV2LnhtbESPzWrDMBCE74W8g9hAL6WRW0wIbpRgDKU5BEr+7ou1&#10;sU2klZHU2Hn7KFDIcZiZb5jlerRGXMmHzrGCj1kGgrh2uuNGwfHw/b4AESKyRuOYFNwowHo1eVli&#10;od3AO7ruYyMShEOBCtoY+0LKULdkMcxcT5y8s/MWY5K+kdrjkODWyM8sm0uLHaeFFnuqWqov+z+r&#10;4HdrKm8qGn6q22lzPOXl23ZeKvU6HcsvEJHG+Az/tzdaQZ7D40v6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EMc8MAAADbAAAADwAAAAAAAAAAAAAAAACYAgAAZHJzL2Rv&#10;d25yZXYueG1sUEsFBgAAAAAEAAQA9QAAAIgD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依法予以许可，出具相关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业务办理凭证，并送达</w:t>
                    </w:r>
                  </w:p>
                </w:txbxContent>
              </v:textbox>
            </v:shape>
            <v:shape id="AutoShape 1364" o:spid="_x0000_s1030" o:spt="32" type="#_x0000_t32" style="position:absolute;left:4382;top:7693;height:626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<v:path arrowok="t"/>
              <v:fill on="f" focussize="0,0"/>
              <v:stroke endarrow="block"/>
              <v:imagedata o:title=""/>
              <o:lock v:ext="edit"/>
            </v:shape>
            <v:shape id="AutoShape 1365" o:spid="_x0000_s1031" o:spt="32" type="#_x0000_t32" style="position:absolute;left:6331;top:9568;height:1095;width:17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<v:path arrowok="t"/>
              <v:fill on="f" focussize="0,0"/>
              <v:stroke endarrow="block"/>
              <v:imagedata o:title=""/>
              <o:lock v:ext="edit"/>
            </v:shape>
            <v:shape id="AutoShape 1366" o:spid="_x0000_s1032" o:spt="32" type="#_x0000_t32" style="position:absolute;left:2358;top:9568;height:1035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<v:path arrowok="t"/>
              <v:fill on="f" focussize="0,0"/>
              <v:stroke endarrow="block"/>
              <v:imagedata o:title=""/>
              <o:lock v:ext="edit"/>
            </v:shape>
            <v:shape id="AutoShape 1367" o:spid="_x0000_s1033" o:spt="32" type="#_x0000_t32" style="position:absolute;left:4383;top:8853;height:715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>
              <v:path arrowok="t"/>
              <v:fill on="f" focussize="0,0"/>
              <v:stroke/>
              <v:imagedata o:title=""/>
              <o:lock v:ext="edit"/>
            </v:shape>
            <v:shape id="AutoShape 1368" o:spid="_x0000_s1034" o:spt="32" type="#_x0000_t32" style="position:absolute;left:2359;top:9568;height:0;width:3972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>
              <v:path arrowok="t"/>
              <v:fill on="f" focussize="0,0"/>
              <v:stroke/>
              <v:imagedata o:title=""/>
              <o:lock v:ext="edit"/>
            </v:shape>
            <v:group id="Group 1369" o:spid="_x0000_s1035" o:spt="203" style="position:absolute;left:0;top:0;height:7693;width:8921;" coordsize="8921,7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o:lock v:ext="edit"/>
              <v:shape id="AutoShape 1370" o:spid="_x0000_s1036" o:spt="32" type="#_x0000_t32" style="position:absolute;left:5893;top:6566;height:608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<v:path arrowok="t"/>
                <v:fill on="f" focussize="0,0"/>
                <v:stroke endarrow="block"/>
                <v:imagedata o:title=""/>
                <o:lock v:ext="edit"/>
              </v:shape>
              <v:group id="Group 1371" o:spid="_x0000_s1037" o:spt="203" style="position:absolute;left:0;top:0;height:7693;width:8921;" coordsize="8921,7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o:lock v:ext="edit"/>
                <v:shape id="AutoShape 1372" o:spid="_x0000_s1038" o:spt="34" type="#_x0000_t34" style="position:absolute;left:6366;top:3154;height:1285;width:3823;rotation:-5898240f;" o:connectortype="elbow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1kVMUAAADbAAAADwAAAGRycy9kb3ducmV2LnhtbESPT2vCQBTE74LfYXmF3nSjwT9EV9GW&#10;otCTVqjHR/Y1Sbv7NmQ3Gr+9KxQ8DjPzG2a57qwRF2p85VjBaJiAIM6drrhQcPr6GMxB+ICs0Tgm&#10;BTfysF71e0vMtLvygS7HUIgIYZ+hgjKEOpPS5yVZ9ENXE0fvxzUWQ5RNIXWD1wi3Ro6TZCotVhwX&#10;SqzpraT879haBdvPbZum5tCG6en3PPt+N5vdfKTU60u3WYAI1IVn+L+91womKTy+xB8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1kVMUAAADbAAAADwAAAAAAAAAA&#10;AAAAAAChAgAAZHJzL2Rvd25yZXYueG1sUEsFBgAAAAAEAAQA+QAAAJMDAAAAAA==&#10;" adj="33">
                  <v:path arrowok="t"/>
                  <v:fill on="f" focussize="0,0"/>
                  <v:stroke joinstyle="miter"/>
                  <v:imagedata o:title=""/>
                  <o:lock v:ext="edit"/>
                </v:shape>
                <v:shape id="Text Box 1373" o:spid="_x0000_s1039" o:spt="202" type="#_x0000_t202" style="position:absolute;left:7996;top:2297;height:2553;width:754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59cIA&#10;AADbAAAADwAAAGRycy9kb3ducmV2LnhtbESPT4vCMBTE74LfITzBi2hqU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Hn1wgAAANsAAAAPAAAAAAAAAAAAAAAAAJgCAABkcnMvZG93&#10;bnJldi54bWxQSwUGAAAAAAQABAD1AAAAhwMAAAAA&#10;">
                  <v:path/>
                  <v:fill focussize="0,0"/>
                  <v:stroke color="#FFFFFF"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不能提供符合受理要求的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</w:t>
                        </w:r>
                      </w:p>
                    </w:txbxContent>
                  </v:textbox>
                </v:shape>
                <v:shape id="AutoShape 1374" o:spid="_x0000_s1040" o:spt="32" type="#_x0000_t32" style="position:absolute;left:5893;top:4472;height:378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path arrowok="t"/>
                  <v:fill on="f" focussize="0,0"/>
                  <v:stroke endarrow="block"/>
                  <v:imagedata o:title=""/>
                  <o:lock v:ext="edit"/>
                </v:shape>
                <v:shape id="Text Box 1375" o:spid="_x0000_s1041" o:spt="202" type="#_x0000_t202" style="position:absolute;left:2568;top:6566;height:477;width:2737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CGcMA&#10;AADbAAAADwAAAGRycy9kb3ducmV2LnhtbESPT4vCMBTE7wt+h/AEL4umFlakGksRF/fqn4u3R/Ns&#10;i81L22Rt3U+/EQSPw8z8hlmng6nFnTpXWVYwn0UgiHOrKy4UnE/f0yUI55E11pZJwYMcpJvRxxoT&#10;bXs+0P3oCxEg7BJUUHrfJFK6vCSDbmYb4uBdbWfQB9kVUnfYB7ipZRxFC2mw4rBQYkPbkvLb8dco&#10;sP3uYSy1Ufx5+TP7bdYernGr1GQ8ZCsQngb/Dr/aP1rB1wK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JCGcMAAADbAAAADwAAAAAAAAAAAAAAAACYAgAAZHJzL2Rv&#10;d25yZXYueG1sUEsFBgAAAAAEAAQA9QAAAIgDAAAAAA==&#10;">
                  <v:path/>
                  <v:fill focussize="0,0"/>
                  <v:stroke color="#FFFFFF"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材料齐全并符合受理要求</w:t>
                        </w:r>
                      </w:p>
                    </w:txbxContent>
                  </v:textbox>
                </v:shape>
                <v:shape id="AutoShape 1376" o:spid="_x0000_s1042" o:spt="4" type="#_x0000_t4" style="position:absolute;left:4156;top:4833;height:1733;width:3480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BIFsMA&#10;AADbAAAADwAAAGRycy9kb3ducmV2LnhtbESPUWvCMBSF34X9h3CFvWnqYE46o4zBQKYvVn/Atbk2&#10;3ZqbmmRt/fdGEPZ4OOd8h7NcD7YRHflQO1Ywm2YgiEuna64UHA9fkwWIEJE1No5JwZUCrFdPoyXm&#10;2vW8p66IlUgQDjkqMDG2uZShNGQxTF1LnLyz8xZjkr6S2mOf4LaRL1k2lxZrTgsGW/o0VP4Wf1bB&#10;z6k1/W5xOWdF6Tv5vfOby36r1PN4+HgHEWmI/+FHe6MVvL7B/Uv6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BIFsMAAADbAAAADwAAAAAAAAAAAAAAAACYAgAAZHJzL2Rv&#10;d25yZXYueG1sUEsFBgAAAAAEAAQA9QAAAIgDAAAAAA==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申请人补充材料</w:t>
                        </w:r>
                      </w:p>
                    </w:txbxContent>
                  </v:textbox>
                </v:shape>
                <v:rect id="Rectangle 1377" o:spid="_x0000_s1043" o:spt="1" style="position:absolute;left:2568;top:7174;height:519;width:481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依法应予受理，出具行政审批受理单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v:rect id="Rectangle 1378" o:spid="_x0000_s1044" o:spt="1" style="position:absolute;left:4566;top:3341;height:1114;width:3190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材料不全或不符合法定形式的，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一次性告知补正材料，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出具行政审批补正材料通知书</w:t>
                        </w:r>
                      </w:p>
                      <w:p/>
                    </w:txbxContent>
                  </v:textbox>
                </v:rect>
                <v:shape id="AutoShape 1379" o:spid="_x0000_s1045" o:spt="116" type="#_x0000_t116" style="position:absolute;left:4566;top:1337;height:1423;width:2818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WEMAA&#10;AADbAAAADwAAAGRycy9kb3ducmV2LnhtbERPy4rCMBTdC/MP4Q7MRsbUYSjSMUopyLgQBl/7S3Nt&#10;i8lNSTK2/r1ZCC4P571cj9aIG/nQOVYwn2UgiGunO24UnI6bzwWIEJE1Gsek4E4B1qu3yRIL7Qbe&#10;0+0QG5FCOBSooI2xL6QMdUsWw8z1xIm7OG8xJugbqT0OKdwa+ZVlubTYcWposaeqpfp6+LcK/nam&#10;8qai4be6n7en83c53eWlUh/vY/kDItIYX+Kne6sV5Gl9+pJ+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+9WEMAAAADbAAAADwAAAAAAAAAAAAAAAACYAgAAZHJzL2Rvd25y&#10;ZXYueG1sUEsFBgAAAAAEAAQA9QAAAIUDAAAAAA==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依法不予受理的，作出不予受理决定，出具不予受理行政审批申请通知书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Group 1380" o:spid="_x0000_s1046" o:spt="203" style="position:absolute;left:0;top:0;height:7424;width:4594;" coordsize="4594,74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o:lock v:ext="edit"/>
                  <v:shape id="AutoShape 1381" o:spid="_x0000_s1047" o:spt="32" type="#_x0000_t32" style="position:absolute;left:3663;top:3910;height:0;width:93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AutoShape 1382" o:spid="_x0000_s1048" o:spt="32" type="#_x0000_t32" style="position:absolute;left:1355;top:3986;height:3437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>
                    <v:path arrowok="t"/>
                    <v:fill on="f" focussize="0,0"/>
                    <v:stroke/>
                    <v:imagedata o:title=""/>
                    <o:lock v:ext="edit"/>
                  </v:shape>
                  <v:group id="Group 1383" o:spid="_x0000_s1049" o:spt="203" style="position:absolute;left:0;top:0;height:3986;width:3629;" coordsize="3629,39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o:lock v:ext="edit"/>
                    <v:shape id="AutoShape 1384" o:spid="_x0000_s1050" o:spt="32" type="#_x0000_t32" style="position:absolute;left:1396;top:1172;height:764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A4nM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A4nMUAAADbAAAADwAAAAAAAAAA&#10;AAAAAAChAgAAZHJzL2Rvd25yZXYueG1sUEsFBgAAAAAEAAQA+QAAAJMDAAAAAA==&#10;">
                      <v:path arrowok="t"/>
                      <v:fill on="f" focussize="0,0"/>
                      <v:stroke endarrow="block"/>
                      <v:imagedata o:title=""/>
                      <o:lock v:ext="edit"/>
                    </v:shape>
                    <v:shape id="AutoShape 1385" o:spid="_x0000_s1051" o:spt="32" type="#_x0000_t32" style="position:absolute;left:2400;top:2967;height:0;width:1229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>
                      <v:path arrowok="t"/>
                      <v:fill on="f" focussize="0,0"/>
                      <v:stroke/>
                      <v:imagedata o:title=""/>
                      <o:lock v:ext="edit"/>
                    </v:shape>
                    <v:shape id="AutoShape 1386" o:spid="_x0000_s1052" o:spt="4" type="#_x0000_t4" style="position:absolute;left:0;top:1936;height:2050;width:2773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yCq8MA&#10;AADbAAAADwAAAGRycy9kb3ducmV2LnhtbESPwW7CMBBE75X4B2uReisOPQAKGFRVQkLAhcAHLPES&#10;p43XwXaT9O9xpUocRzPzRrPaDLYRHflQO1YwnWQgiEuna64UXM7btwWIEJE1No5JwS8F2KxHLyvM&#10;tev5RF0RK5EgHHJUYGJscylDachimLiWOHk35y3GJH0ltcc+wW0j37NsJi3WnBYMtvRpqPwufqyC&#10;r2tr+uPifsuK0ndyf/S7++mg1Ot4+FiCiDTEZ/i/vdMKZnP4+5J+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yCq8MAAADbAAAADwAAAAAAAAAAAAAAAACYAgAAZHJzL2Rv&#10;d25yZXYueG1sUEsFBgAAAAAEAAQA9QAAAIgDAAAAAA==&#10;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接件（</w:t>
                            </w:r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个工作日）作出是否受理决定</w:t>
                            </w:r>
                          </w:p>
                          <w:p/>
                        </w:txbxContent>
                      </v:textbox>
                    </v:shape>
                    <v:shape id="AutoShape 1387" o:spid="_x0000_s1053" o:spt="116" type="#_x0000_t116" style="position:absolute;left:184;top:0;height:1172;width:2724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laFsAA&#10;AADbAAAADwAAAGRycy9kb3ducmV2LnhtbERPy4rCMBTdC/MP4Q7MRsbUYSjSMUopyLgQBl/7S3Nt&#10;i8lNSTK2/r1ZCC4P571cj9aIG/nQOVYwn2UgiGunO24UnI6bzwWIEJE1Gsek4E4B1qu3yRIL7Qbe&#10;0+0QG5FCOBSooI2xL6QMdUsWw8z1xIm7OG8xJugbqT0OKdwa+ZVlubTYcWposaeqpfp6+LcK/nam&#10;8qai4be6n7en83c53eWlUh/vY/kDItIYX+Kne6sV5Gls+pJ+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laFsAAAADbAAAADwAAAAAAAAAAAAAAAACYAgAAZHJzL2Rvd25y&#10;ZXYueG1sUEsFBgAAAAAEAAQA9QAAAIUDAAAAAA==&#10;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申请人提出书面申请，并提交材料</w:t>
                            </w:r>
                          </w:p>
                        </w:txbxContent>
                      </v:textbox>
                    </v:shape>
                  </v:group>
                  <v:shape id="AutoShape 1388" o:spid="_x0000_s1054" o:spt="32" type="#_x0000_t32" style="position:absolute;left:1355;top:7423;height:1;width:1213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AutoShape 1389" o:spid="_x0000_s1055" o:spt="32" type="#_x0000_t32" style="position:absolute;left:3663;top:1999;height:1921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ZvHc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1m8dwQAAANsAAAAPAAAAAAAAAAAAAAAA&#10;AKECAABkcnMvZG93bnJldi54bWxQSwUGAAAAAAQABAD5AAAAjwMAAAAA&#10;">
                    <v:path arrowok="t"/>
                    <v:fill on="f" focussize="0,0"/>
                    <v:stroke/>
                    <v:imagedata o:title=""/>
                    <o:lock v:ext="edit"/>
                  </v:shape>
                  <v:shape id="AutoShape 1390" o:spid="_x0000_s1056" o:spt="32" type="#_x0000_t32" style="position:absolute;left:3663;top:1989;height:1;width:903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Text Box 1391" o:spid="_x0000_s1057" o:spt="202" type="#_x0000_t202" style="position:absolute;left:597;top:5280;height:1152;width:508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Yes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X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wYesMAAADbAAAADwAAAAAAAAAAAAAAAACYAgAAZHJzL2Rv&#10;d25yZXYueG1sUEsFBgAAAAAEAAQA9QAAAIgDAAAAAA==&#10;">
                    <v:path/>
                    <v:fill focussize="0,0"/>
                    <v:stroke color="#FFFFFF" joinstyle="miter"/>
                    <v:imagedata o:title=""/>
                    <o:lock v:ext="edit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是</w:t>
                          </w:r>
                        </w:p>
                      </w:txbxContent>
                    </v:textbox>
                  </v:shape>
                  <v:shape id="Text Box 1392" o:spid="_x0000_s1058" o:spt="202" type="#_x0000_t202" style="position:absolute;left:2799;top:2220;height:471;width:508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HMQA&#10;AADbAAAADwAAAGRycy9kb3ducmV2LnhtbESPQWvCQBSE70L/w/IK3nRTCxqiqxS1aBEFo95fs88k&#10;NPs2ZFdN++u7guBxmJlvmMmsNZW4UuNKywre+hEI4szqknMFx8NnLwbhPLLGyjIp+CUHs+lLZ4KJ&#10;tjfe0zX1uQgQdgkqKLyvEyldVpBB17c1cfDOtjHog2xyqRu8Bbip5CCKhtJgyWGhwJrmBWU/6cUo&#10;GGzRf6Xn1WoYb77/jvPFLl6eLkp1X9uPMQhPrX+GH+21VjB6h/uX8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DHhzEAAAA2wAAAA8AAAAAAAAAAAAAAAAAmAIAAGRycy9k&#10;b3ducmV2LnhtbFBLBQYAAAAABAAEAPUAAACJAwAAAAA=&#10;">
                    <v:path/>
                    <v:fill focussize="0,0"/>
                    <v:stroke color="#FFFFFF" joinstyle="miter"/>
                    <v:imagedata o:title=""/>
                    <o:lock v:ext="edit"/>
                    <v:textbox style="mso-fit-shape-to-text:t;">
                      <w:txbxContent>
                        <w:p>
                          <w:r>
                            <w:rPr>
                              <w:rFonts w:hint="eastAsia"/>
                            </w:rPr>
                            <w:t>否</w:t>
                          </w:r>
                        </w:p>
                      </w:txbxContent>
                    </v:textbox>
                  </v:shape>
                </v:group>
                <v:shape id="AutoShape 1393" o:spid="_x0000_s1059" o:spt="32" type="#_x0000_t32" style="position:absolute;left:7384;top:1886;flip:x;height:0;width:1537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7z+MIAAADb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Us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7z+MIAAADbAAAADwAAAAAAAAAAAAAA&#10;AAChAgAAZHJzL2Rvd25yZXYueG1sUEsFBgAAAAAEAAQA+QAAAJADAAAAAA==&#10;">
                  <v:path arrowok="t"/>
                  <v:fill on="f" focussize="0,0"/>
                  <v:stroke endarrow="block"/>
                  <v:imagedata o:title=""/>
                  <o:lock v:ext="edit"/>
                </v:shape>
              </v:group>
            </v:group>
          </v:group>
        </w:pict>
      </w:r>
      <w:r>
        <w:rPr>
          <w:rFonts w:ascii="Times New Roman" w:hAnsi="Times New Roman" w:eastAsia="黑体" w:cs="Times New Roman"/>
          <w:sz w:val="30"/>
          <w:szCs w:val="30"/>
        </w:rPr>
        <w:t>基本流程图</w:t>
      </w: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left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tabs>
          <w:tab w:val="center" w:pos="4363"/>
        </w:tabs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ab/>
      </w:r>
    </w:p>
    <w:p>
      <w:pPr>
        <w:ind w:right="3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sz w:val="30"/>
          <w:szCs w:val="30"/>
        </w:rPr>
        <w:t>附录二</w:t>
      </w:r>
    </w:p>
    <w:p>
      <w:pPr>
        <w:ind w:right="-58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-58"/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常见问题</w:t>
      </w:r>
    </w:p>
    <w:p>
      <w:pPr>
        <w:ind w:right="-58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-58"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问：发生外保内贷履约的，金融机构是否可直接与境外担保人办理担保履约收款？</w:t>
      </w:r>
    </w:p>
    <w:p>
      <w:pPr>
        <w:ind w:right="-58"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答：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已按规定办理登记的</w:t>
      </w:r>
      <w:r>
        <w:rPr>
          <w:rFonts w:ascii="Times New Roman" w:hAnsi="Times New Roman" w:eastAsia="仿宋_GB2312" w:cs="Times New Roman"/>
          <w:sz w:val="30"/>
          <w:szCs w:val="30"/>
        </w:rPr>
        <w:t>外保内贷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发生履约后，</w:t>
      </w:r>
      <w:r>
        <w:rPr>
          <w:rFonts w:ascii="Times New Roman" w:hAnsi="Times New Roman" w:eastAsia="仿宋_GB2312" w:cs="Times New Roman"/>
          <w:sz w:val="30"/>
          <w:szCs w:val="30"/>
        </w:rPr>
        <w:t>金融机构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可以</w:t>
      </w:r>
      <w:r>
        <w:rPr>
          <w:rFonts w:ascii="Times New Roman" w:hAnsi="Times New Roman" w:eastAsia="仿宋_GB2312" w:cs="Times New Roman"/>
          <w:sz w:val="30"/>
          <w:szCs w:val="30"/>
        </w:rPr>
        <w:t>直接与境外担保人办理担保履约收款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。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332CF9"/>
    <w:multiLevelType w:val="singleLevel"/>
    <w:tmpl w:val="9E332CF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357305E0"/>
    <w:multiLevelType w:val="singleLevel"/>
    <w:tmpl w:val="357305E0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6E3E4288"/>
    <w:multiLevelType w:val="singleLevel"/>
    <w:tmpl w:val="6E3E428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31E"/>
    <w:rsid w:val="00003372"/>
    <w:rsid w:val="00022191"/>
    <w:rsid w:val="00023783"/>
    <w:rsid w:val="00041960"/>
    <w:rsid w:val="00041F4C"/>
    <w:rsid w:val="00042B58"/>
    <w:rsid w:val="00054B00"/>
    <w:rsid w:val="00055270"/>
    <w:rsid w:val="00057F76"/>
    <w:rsid w:val="0006560A"/>
    <w:rsid w:val="00072F8A"/>
    <w:rsid w:val="000750C8"/>
    <w:rsid w:val="0007763B"/>
    <w:rsid w:val="00080630"/>
    <w:rsid w:val="00091661"/>
    <w:rsid w:val="00092D53"/>
    <w:rsid w:val="00096CBB"/>
    <w:rsid w:val="00097F7B"/>
    <w:rsid w:val="000A0CE8"/>
    <w:rsid w:val="000B6901"/>
    <w:rsid w:val="000B728B"/>
    <w:rsid w:val="000C15B3"/>
    <w:rsid w:val="000C2B33"/>
    <w:rsid w:val="000C6F3A"/>
    <w:rsid w:val="000D1995"/>
    <w:rsid w:val="000D7478"/>
    <w:rsid w:val="000E485B"/>
    <w:rsid w:val="00107C42"/>
    <w:rsid w:val="0012271F"/>
    <w:rsid w:val="00130519"/>
    <w:rsid w:val="00135BEE"/>
    <w:rsid w:val="0014667A"/>
    <w:rsid w:val="00154B58"/>
    <w:rsid w:val="00157C64"/>
    <w:rsid w:val="00157E81"/>
    <w:rsid w:val="00170126"/>
    <w:rsid w:val="00177059"/>
    <w:rsid w:val="00181D3E"/>
    <w:rsid w:val="00196FAE"/>
    <w:rsid w:val="001A3E49"/>
    <w:rsid w:val="001A72AA"/>
    <w:rsid w:val="001B1627"/>
    <w:rsid w:val="001B1E2C"/>
    <w:rsid w:val="001C44C7"/>
    <w:rsid w:val="001D65A2"/>
    <w:rsid w:val="001E1407"/>
    <w:rsid w:val="001F4BD4"/>
    <w:rsid w:val="001F7297"/>
    <w:rsid w:val="00205D07"/>
    <w:rsid w:val="00212F39"/>
    <w:rsid w:val="00217116"/>
    <w:rsid w:val="00231EED"/>
    <w:rsid w:val="00233841"/>
    <w:rsid w:val="00235F24"/>
    <w:rsid w:val="002417D2"/>
    <w:rsid w:val="00241FE8"/>
    <w:rsid w:val="0024527E"/>
    <w:rsid w:val="00253F7B"/>
    <w:rsid w:val="00263B1F"/>
    <w:rsid w:val="00267456"/>
    <w:rsid w:val="00291C17"/>
    <w:rsid w:val="0029313A"/>
    <w:rsid w:val="002B0B1C"/>
    <w:rsid w:val="002B598D"/>
    <w:rsid w:val="002B61C1"/>
    <w:rsid w:val="002E1323"/>
    <w:rsid w:val="002F3868"/>
    <w:rsid w:val="002F4C5E"/>
    <w:rsid w:val="00302119"/>
    <w:rsid w:val="00302E87"/>
    <w:rsid w:val="00310261"/>
    <w:rsid w:val="00343044"/>
    <w:rsid w:val="00344B01"/>
    <w:rsid w:val="00353AC4"/>
    <w:rsid w:val="003616B4"/>
    <w:rsid w:val="003A57B2"/>
    <w:rsid w:val="003C7132"/>
    <w:rsid w:val="003D77A5"/>
    <w:rsid w:val="003E1D32"/>
    <w:rsid w:val="003E6BF6"/>
    <w:rsid w:val="003F221D"/>
    <w:rsid w:val="003F3097"/>
    <w:rsid w:val="003F4E58"/>
    <w:rsid w:val="00402AE8"/>
    <w:rsid w:val="00405FE6"/>
    <w:rsid w:val="004105BC"/>
    <w:rsid w:val="00421C27"/>
    <w:rsid w:val="00440A1F"/>
    <w:rsid w:val="00443603"/>
    <w:rsid w:val="00443604"/>
    <w:rsid w:val="004501EA"/>
    <w:rsid w:val="00460458"/>
    <w:rsid w:val="0046792D"/>
    <w:rsid w:val="004767DF"/>
    <w:rsid w:val="00493CCC"/>
    <w:rsid w:val="004A0218"/>
    <w:rsid w:val="004A7840"/>
    <w:rsid w:val="004B545A"/>
    <w:rsid w:val="004B7E80"/>
    <w:rsid w:val="004C457E"/>
    <w:rsid w:val="004C48D5"/>
    <w:rsid w:val="004D03B7"/>
    <w:rsid w:val="004D1436"/>
    <w:rsid w:val="004D57AE"/>
    <w:rsid w:val="005056D4"/>
    <w:rsid w:val="00526B2B"/>
    <w:rsid w:val="005362B0"/>
    <w:rsid w:val="00542447"/>
    <w:rsid w:val="00542ACD"/>
    <w:rsid w:val="00564312"/>
    <w:rsid w:val="005A2981"/>
    <w:rsid w:val="005C1AC1"/>
    <w:rsid w:val="005C6937"/>
    <w:rsid w:val="005C7F02"/>
    <w:rsid w:val="005D6B44"/>
    <w:rsid w:val="005F0A86"/>
    <w:rsid w:val="005F144A"/>
    <w:rsid w:val="005F1C00"/>
    <w:rsid w:val="00613DB2"/>
    <w:rsid w:val="00615D08"/>
    <w:rsid w:val="0061621E"/>
    <w:rsid w:val="00630AA8"/>
    <w:rsid w:val="00630B2E"/>
    <w:rsid w:val="00643D2A"/>
    <w:rsid w:val="00664E11"/>
    <w:rsid w:val="00673B30"/>
    <w:rsid w:val="00696E5D"/>
    <w:rsid w:val="006B5B86"/>
    <w:rsid w:val="006C5908"/>
    <w:rsid w:val="006C633E"/>
    <w:rsid w:val="006D56AB"/>
    <w:rsid w:val="006D734F"/>
    <w:rsid w:val="006E043F"/>
    <w:rsid w:val="006E4695"/>
    <w:rsid w:val="006E4B8B"/>
    <w:rsid w:val="006E5901"/>
    <w:rsid w:val="007033AD"/>
    <w:rsid w:val="0071091C"/>
    <w:rsid w:val="00714961"/>
    <w:rsid w:val="00744BD5"/>
    <w:rsid w:val="00745748"/>
    <w:rsid w:val="00750E36"/>
    <w:rsid w:val="00753CB0"/>
    <w:rsid w:val="00755460"/>
    <w:rsid w:val="00761FB7"/>
    <w:rsid w:val="00762107"/>
    <w:rsid w:val="00764CB9"/>
    <w:rsid w:val="00765B05"/>
    <w:rsid w:val="0077269F"/>
    <w:rsid w:val="00785F45"/>
    <w:rsid w:val="007A2780"/>
    <w:rsid w:val="007A68EA"/>
    <w:rsid w:val="007B06FC"/>
    <w:rsid w:val="007B0FEF"/>
    <w:rsid w:val="007B2DB5"/>
    <w:rsid w:val="007D2C11"/>
    <w:rsid w:val="007D6171"/>
    <w:rsid w:val="007D69EA"/>
    <w:rsid w:val="007E2C7B"/>
    <w:rsid w:val="007E411B"/>
    <w:rsid w:val="007F0863"/>
    <w:rsid w:val="007F2F3B"/>
    <w:rsid w:val="00802307"/>
    <w:rsid w:val="0082168E"/>
    <w:rsid w:val="00821968"/>
    <w:rsid w:val="008471B6"/>
    <w:rsid w:val="00851521"/>
    <w:rsid w:val="0085686A"/>
    <w:rsid w:val="00860878"/>
    <w:rsid w:val="008731FF"/>
    <w:rsid w:val="0088294A"/>
    <w:rsid w:val="0089282A"/>
    <w:rsid w:val="008A4538"/>
    <w:rsid w:val="008A704B"/>
    <w:rsid w:val="008B08D2"/>
    <w:rsid w:val="008B4EE5"/>
    <w:rsid w:val="008B5807"/>
    <w:rsid w:val="008D5FA0"/>
    <w:rsid w:val="008E2D38"/>
    <w:rsid w:val="008F5724"/>
    <w:rsid w:val="008F5900"/>
    <w:rsid w:val="008F7531"/>
    <w:rsid w:val="00902633"/>
    <w:rsid w:val="009027D8"/>
    <w:rsid w:val="0090372F"/>
    <w:rsid w:val="00911E27"/>
    <w:rsid w:val="0092129A"/>
    <w:rsid w:val="00925A3D"/>
    <w:rsid w:val="00925BB2"/>
    <w:rsid w:val="00930C8C"/>
    <w:rsid w:val="009360EA"/>
    <w:rsid w:val="00941CA2"/>
    <w:rsid w:val="00946673"/>
    <w:rsid w:val="00947C57"/>
    <w:rsid w:val="00951149"/>
    <w:rsid w:val="00960EDB"/>
    <w:rsid w:val="009622DB"/>
    <w:rsid w:val="009664BC"/>
    <w:rsid w:val="00980F02"/>
    <w:rsid w:val="00991B77"/>
    <w:rsid w:val="00997523"/>
    <w:rsid w:val="009A0C5D"/>
    <w:rsid w:val="009C4672"/>
    <w:rsid w:val="009C491B"/>
    <w:rsid w:val="009D0911"/>
    <w:rsid w:val="009D24F8"/>
    <w:rsid w:val="009D688C"/>
    <w:rsid w:val="009E67AD"/>
    <w:rsid w:val="009F2B74"/>
    <w:rsid w:val="009F7A36"/>
    <w:rsid w:val="00A249C2"/>
    <w:rsid w:val="00A24FAB"/>
    <w:rsid w:val="00A301E7"/>
    <w:rsid w:val="00A42E69"/>
    <w:rsid w:val="00A45CA7"/>
    <w:rsid w:val="00A51415"/>
    <w:rsid w:val="00A54A5A"/>
    <w:rsid w:val="00A6014E"/>
    <w:rsid w:val="00A60356"/>
    <w:rsid w:val="00A75425"/>
    <w:rsid w:val="00A81DF1"/>
    <w:rsid w:val="00A90EF3"/>
    <w:rsid w:val="00AA7717"/>
    <w:rsid w:val="00AB131E"/>
    <w:rsid w:val="00AB644F"/>
    <w:rsid w:val="00AC3F5E"/>
    <w:rsid w:val="00AE7ACF"/>
    <w:rsid w:val="00B023C3"/>
    <w:rsid w:val="00B06409"/>
    <w:rsid w:val="00B17D66"/>
    <w:rsid w:val="00B22280"/>
    <w:rsid w:val="00B31FD9"/>
    <w:rsid w:val="00B35D3A"/>
    <w:rsid w:val="00B422F1"/>
    <w:rsid w:val="00B613F5"/>
    <w:rsid w:val="00B71531"/>
    <w:rsid w:val="00B7456C"/>
    <w:rsid w:val="00B84131"/>
    <w:rsid w:val="00B8630E"/>
    <w:rsid w:val="00B931F4"/>
    <w:rsid w:val="00B95573"/>
    <w:rsid w:val="00B96395"/>
    <w:rsid w:val="00BA2AF8"/>
    <w:rsid w:val="00BB2650"/>
    <w:rsid w:val="00BB5BDC"/>
    <w:rsid w:val="00BB7B76"/>
    <w:rsid w:val="00BC32A0"/>
    <w:rsid w:val="00BD233D"/>
    <w:rsid w:val="00BE2AF9"/>
    <w:rsid w:val="00BF4EF0"/>
    <w:rsid w:val="00C024D6"/>
    <w:rsid w:val="00C02E44"/>
    <w:rsid w:val="00C10BF8"/>
    <w:rsid w:val="00C147D2"/>
    <w:rsid w:val="00C2075F"/>
    <w:rsid w:val="00C23799"/>
    <w:rsid w:val="00C274C9"/>
    <w:rsid w:val="00C31E02"/>
    <w:rsid w:val="00C54291"/>
    <w:rsid w:val="00C553CE"/>
    <w:rsid w:val="00C672C3"/>
    <w:rsid w:val="00C712B2"/>
    <w:rsid w:val="00C81A52"/>
    <w:rsid w:val="00C94325"/>
    <w:rsid w:val="00C97FED"/>
    <w:rsid w:val="00CA0243"/>
    <w:rsid w:val="00CA1DBB"/>
    <w:rsid w:val="00CA2622"/>
    <w:rsid w:val="00CA7F2C"/>
    <w:rsid w:val="00CA7FF8"/>
    <w:rsid w:val="00CB5DE7"/>
    <w:rsid w:val="00CC068D"/>
    <w:rsid w:val="00CC4922"/>
    <w:rsid w:val="00CD1FF6"/>
    <w:rsid w:val="00CE25C7"/>
    <w:rsid w:val="00CE3335"/>
    <w:rsid w:val="00CE4849"/>
    <w:rsid w:val="00CE5C8E"/>
    <w:rsid w:val="00CE5F49"/>
    <w:rsid w:val="00D01626"/>
    <w:rsid w:val="00D2505A"/>
    <w:rsid w:val="00D33A4D"/>
    <w:rsid w:val="00D33F76"/>
    <w:rsid w:val="00D41F5E"/>
    <w:rsid w:val="00D43DC0"/>
    <w:rsid w:val="00D54E56"/>
    <w:rsid w:val="00D6407D"/>
    <w:rsid w:val="00D93E78"/>
    <w:rsid w:val="00DC6E91"/>
    <w:rsid w:val="00DC7514"/>
    <w:rsid w:val="00DD3845"/>
    <w:rsid w:val="00DE531B"/>
    <w:rsid w:val="00E1687A"/>
    <w:rsid w:val="00E20A2E"/>
    <w:rsid w:val="00E277DE"/>
    <w:rsid w:val="00E27EE9"/>
    <w:rsid w:val="00E3239D"/>
    <w:rsid w:val="00E3439B"/>
    <w:rsid w:val="00E42C5F"/>
    <w:rsid w:val="00E65A1B"/>
    <w:rsid w:val="00E72F1F"/>
    <w:rsid w:val="00E7627E"/>
    <w:rsid w:val="00E85029"/>
    <w:rsid w:val="00E8543C"/>
    <w:rsid w:val="00E934AB"/>
    <w:rsid w:val="00EA06AC"/>
    <w:rsid w:val="00EA08BF"/>
    <w:rsid w:val="00EA24FB"/>
    <w:rsid w:val="00EB3204"/>
    <w:rsid w:val="00EB50BA"/>
    <w:rsid w:val="00EC3D33"/>
    <w:rsid w:val="00ED302A"/>
    <w:rsid w:val="00ED3A42"/>
    <w:rsid w:val="00EE02BC"/>
    <w:rsid w:val="00EE6970"/>
    <w:rsid w:val="00EF38D0"/>
    <w:rsid w:val="00EF3DDF"/>
    <w:rsid w:val="00EF4A8C"/>
    <w:rsid w:val="00F02FEB"/>
    <w:rsid w:val="00F2678C"/>
    <w:rsid w:val="00F27B38"/>
    <w:rsid w:val="00F40278"/>
    <w:rsid w:val="00F41832"/>
    <w:rsid w:val="00F56988"/>
    <w:rsid w:val="00F620FB"/>
    <w:rsid w:val="00F6571F"/>
    <w:rsid w:val="00F72C38"/>
    <w:rsid w:val="00F8687E"/>
    <w:rsid w:val="00F93331"/>
    <w:rsid w:val="00F95549"/>
    <w:rsid w:val="00FA1E24"/>
    <w:rsid w:val="00FA24FB"/>
    <w:rsid w:val="00FA632B"/>
    <w:rsid w:val="00FB38EA"/>
    <w:rsid w:val="00FB5E0F"/>
    <w:rsid w:val="00FB6AFF"/>
    <w:rsid w:val="00FC4D8F"/>
    <w:rsid w:val="00FD06D3"/>
    <w:rsid w:val="00FD1D18"/>
    <w:rsid w:val="00FE3157"/>
    <w:rsid w:val="00FE6865"/>
    <w:rsid w:val="00FE6993"/>
    <w:rsid w:val="0AEA14AF"/>
    <w:rsid w:val="25CA1BBA"/>
    <w:rsid w:val="2E061899"/>
    <w:rsid w:val="3BCC735C"/>
    <w:rsid w:val="46F5326C"/>
    <w:rsid w:val="555C5711"/>
    <w:rsid w:val="5CEB6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1364"/>
        <o:r id="V:Rule2" type="connector" idref="#AutoShape 1365"/>
        <o:r id="V:Rule3" type="connector" idref="#AutoShape 1366"/>
        <o:r id="V:Rule4" type="connector" idref="#AutoShape 1367"/>
        <o:r id="V:Rule5" type="connector" idref="#AutoShape 1368"/>
        <o:r id="V:Rule6" type="connector" idref="#AutoShape 1370"/>
        <o:r id="V:Rule7" type="connector" idref="#AutoShape 1372"/>
        <o:r id="V:Rule8" type="connector" idref="#AutoShape 1374"/>
        <o:r id="V:Rule9" type="connector" idref="#AutoShape 1381"/>
        <o:r id="V:Rule10" type="connector" idref="#AutoShape 1382"/>
        <o:r id="V:Rule11" type="connector" idref="#AutoShape 1384"/>
        <o:r id="V:Rule12" type="connector" idref="#AutoShape 1385"/>
        <o:r id="V:Rule13" type="connector" idref="#AutoShape 1388"/>
        <o:r id="V:Rule14" type="connector" idref="#AutoShape 1389"/>
        <o:r id="V:Rule15" type="connector" idref="#AutoShape 1390"/>
        <o:r id="V:Rule16" type="connector" idref="#AutoShape 139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ind w:firstLine="600" w:firstLineChars="200"/>
      <w:outlineLvl w:val="0"/>
    </w:pPr>
    <w:rPr>
      <w:rFonts w:ascii="黑体" w:hAnsi="黑体" w:eastAsia="黑体" w:cs="宋体"/>
      <w:color w:val="000000"/>
      <w:kern w:val="0"/>
      <w:sz w:val="30"/>
      <w:szCs w:val="30"/>
    </w:rPr>
  </w:style>
  <w:style w:type="paragraph" w:styleId="3">
    <w:name w:val="heading 2"/>
    <w:basedOn w:val="1"/>
    <w:next w:val="1"/>
    <w:link w:val="2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30"/>
    <w:qFormat/>
    <w:uiPriority w:val="9"/>
    <w:pPr>
      <w:ind w:right="300"/>
      <w:outlineLvl w:val="2"/>
    </w:pPr>
    <w:rPr>
      <w:rFonts w:ascii="仿宋_GB2312" w:hAnsi="Calibri" w:eastAsia="仿宋_GB2312" w:cs="Times New Roman"/>
      <w:sz w:val="30"/>
      <w:szCs w:val="3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4"/>
    <w:unhideWhenUsed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26"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7">
    <w:name w:val="Balloon Text"/>
    <w:basedOn w:val="1"/>
    <w:link w:val="22"/>
    <w:unhideWhenUsed/>
    <w:qFormat/>
    <w:uiPriority w:val="0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32"/>
    <w:semiHidden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11">
    <w:name w:val="HTML Preformatted"/>
    <w:basedOn w:val="1"/>
    <w:link w:val="2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basedOn w:val="15"/>
    <w:unhideWhenUsed/>
    <w:qFormat/>
    <w:uiPriority w:val="99"/>
    <w:rPr>
      <w:rFonts w:hint="default" w:ascii="ˎ̥" w:hAnsi="ˎ̥"/>
      <w:color w:val="0453CC"/>
      <w:sz w:val="20"/>
      <w:szCs w:val="20"/>
      <w:u w:val="none"/>
    </w:rPr>
  </w:style>
  <w:style w:type="character" w:styleId="17">
    <w:name w:val="annotation reference"/>
    <w:basedOn w:val="15"/>
    <w:semiHidden/>
    <w:unhideWhenUsed/>
    <w:qFormat/>
    <w:uiPriority w:val="0"/>
    <w:rPr>
      <w:sz w:val="21"/>
      <w:szCs w:val="21"/>
    </w:rPr>
  </w:style>
  <w:style w:type="character" w:styleId="18">
    <w:name w:val="footnote reference"/>
    <w:unhideWhenUsed/>
    <w:qFormat/>
    <w:uiPriority w:val="0"/>
    <w:rPr>
      <w:rFonts w:ascii="Times New Roman" w:hAnsi="Times New Roman" w:cs="Times New Roman"/>
      <w:vertAlign w:val="superscript"/>
    </w:rPr>
  </w:style>
  <w:style w:type="character" w:customStyle="1" w:styleId="19">
    <w:name w:val="页眉 Char"/>
    <w:basedOn w:val="15"/>
    <w:link w:val="9"/>
    <w:qFormat/>
    <w:uiPriority w:val="99"/>
    <w:rPr>
      <w:sz w:val="18"/>
      <w:szCs w:val="18"/>
    </w:rPr>
  </w:style>
  <w:style w:type="character" w:customStyle="1" w:styleId="20">
    <w:name w:val="页脚 Char"/>
    <w:basedOn w:val="15"/>
    <w:link w:val="8"/>
    <w:qFormat/>
    <w:uiPriority w:val="99"/>
    <w:rPr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框文本 Char"/>
    <w:basedOn w:val="15"/>
    <w:link w:val="7"/>
    <w:semiHidden/>
    <w:qFormat/>
    <w:uiPriority w:val="0"/>
    <w:rPr>
      <w:sz w:val="18"/>
      <w:szCs w:val="18"/>
    </w:rPr>
  </w:style>
  <w:style w:type="character" w:customStyle="1" w:styleId="23">
    <w:name w:val="HTML 预设格式 Char"/>
    <w:basedOn w:val="15"/>
    <w:link w:val="11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paragraph" w:customStyle="1" w:styleId="25">
    <w:name w:val="juzhong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批注文字 Char"/>
    <w:basedOn w:val="15"/>
    <w:link w:val="6"/>
    <w:semiHidden/>
    <w:qFormat/>
    <w:uiPriority w:val="0"/>
    <w:rPr>
      <w:rFonts w:ascii="Calibri" w:hAnsi="Calibri" w:eastAsia="宋体" w:cs="Times New Roman"/>
    </w:rPr>
  </w:style>
  <w:style w:type="paragraph" w:customStyle="1" w:styleId="2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8">
    <w:name w:val="标题 1 Char"/>
    <w:basedOn w:val="15"/>
    <w:link w:val="2"/>
    <w:qFormat/>
    <w:uiPriority w:val="9"/>
    <w:rPr>
      <w:rFonts w:ascii="黑体" w:hAnsi="黑体" w:eastAsia="黑体" w:cs="宋体"/>
      <w:color w:val="000000"/>
      <w:kern w:val="0"/>
      <w:sz w:val="30"/>
      <w:szCs w:val="30"/>
    </w:rPr>
  </w:style>
  <w:style w:type="character" w:customStyle="1" w:styleId="29">
    <w:name w:val="标题 2 Char"/>
    <w:basedOn w:val="15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0">
    <w:name w:val="标题 3 Char"/>
    <w:basedOn w:val="15"/>
    <w:link w:val="4"/>
    <w:qFormat/>
    <w:uiPriority w:val="9"/>
    <w:rPr>
      <w:rFonts w:ascii="仿宋_GB2312" w:hAnsi="Calibri" w:eastAsia="仿宋_GB2312" w:cs="Times New Roman"/>
      <w:sz w:val="30"/>
      <w:szCs w:val="30"/>
    </w:rPr>
  </w:style>
  <w:style w:type="character" w:customStyle="1" w:styleId="31">
    <w:name w:val="脚注文本 Char"/>
    <w:basedOn w:val="15"/>
    <w:semiHidden/>
    <w:qFormat/>
    <w:uiPriority w:val="99"/>
    <w:rPr>
      <w:kern w:val="2"/>
      <w:sz w:val="18"/>
      <w:szCs w:val="18"/>
    </w:rPr>
  </w:style>
  <w:style w:type="character" w:customStyle="1" w:styleId="32">
    <w:name w:val="脚注文本 Char1"/>
    <w:basedOn w:val="15"/>
    <w:link w:val="10"/>
    <w:semiHidden/>
    <w:qFormat/>
    <w:uiPriority w:val="0"/>
    <w:rPr>
      <w:rFonts w:ascii="Times New Roman" w:hAnsi="Times New Roman"/>
      <w:sz w:val="18"/>
      <w:szCs w:val="18"/>
    </w:rPr>
  </w:style>
  <w:style w:type="character" w:customStyle="1" w:styleId="33">
    <w:name w:val="标题 4 Char Char"/>
    <w:qFormat/>
    <w:uiPriority w:val="0"/>
    <w:rPr>
      <w:rFonts w:ascii="Calibri" w:hAnsi="Calibri"/>
      <w:b/>
      <w:bCs/>
      <w:sz w:val="28"/>
      <w:szCs w:val="28"/>
      <w:lang w:eastAsia="en-US" w:bidi="en-US"/>
    </w:rPr>
  </w:style>
  <w:style w:type="character" w:customStyle="1" w:styleId="34">
    <w:name w:val="文档结构图 Char"/>
    <w:basedOn w:val="15"/>
    <w:link w:val="5"/>
    <w:qFormat/>
    <w:uiPriority w:val="0"/>
    <w:rPr>
      <w:rFonts w:ascii="宋体"/>
      <w:sz w:val="18"/>
      <w:szCs w:val="18"/>
    </w:rPr>
  </w:style>
  <w:style w:type="character" w:customStyle="1" w:styleId="35">
    <w:name w:val="批注文字 Char1"/>
    <w:basedOn w:val="15"/>
    <w:semiHidden/>
    <w:qFormat/>
    <w:uiPriority w:val="99"/>
    <w:rPr>
      <w:kern w:val="2"/>
      <w:sz w:val="21"/>
      <w:szCs w:val="22"/>
    </w:rPr>
  </w:style>
  <w:style w:type="character" w:customStyle="1" w:styleId="36">
    <w:name w:val="Intense Emphasis"/>
    <w:basedOn w:val="15"/>
    <w:qFormat/>
    <w:uiPriority w:val="21"/>
    <w:rPr>
      <w:b/>
      <w:bCs/>
      <w:i/>
      <w:iCs/>
      <w:color w:val="4F81BD"/>
    </w:rPr>
  </w:style>
  <w:style w:type="character" w:customStyle="1" w:styleId="37">
    <w:name w:val="文档结构图 Char1"/>
    <w:basedOn w:val="15"/>
    <w:semiHidden/>
    <w:qFormat/>
    <w:uiPriority w:val="99"/>
    <w:rPr>
      <w:rFonts w:ascii="宋体" w:eastAsia="宋体"/>
      <w:sz w:val="18"/>
      <w:szCs w:val="18"/>
    </w:rPr>
  </w:style>
  <w:style w:type="character" w:customStyle="1" w:styleId="38">
    <w:name w:val="脚注文本 Char2"/>
    <w:basedOn w:val="15"/>
    <w:semiHidden/>
    <w:qFormat/>
    <w:uiPriority w:val="99"/>
    <w:rPr>
      <w:sz w:val="18"/>
      <w:szCs w:val="18"/>
    </w:rPr>
  </w:style>
  <w:style w:type="paragraph" w:customStyle="1" w:styleId="39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40">
    <w:name w:val="列出段落4"/>
    <w:basedOn w:val="1"/>
    <w:qFormat/>
    <w:uiPriority w:val="0"/>
    <w:pPr>
      <w:ind w:firstLine="200" w:firstLineChars="200"/>
    </w:pPr>
    <w:rPr>
      <w:rFonts w:ascii="Calibri" w:hAnsi="Calibri" w:eastAsia="宋体" w:cs="Times New Roman"/>
    </w:rPr>
  </w:style>
  <w:style w:type="paragraph" w:customStyle="1" w:styleId="41">
    <w:name w:val="列出段落3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42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6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7"/>
    <customShpInfo spid="_x0000_s1048"/>
    <customShpInfo spid="_x0000_s1050"/>
    <customShpInfo spid="_x0000_s1051"/>
    <customShpInfo spid="_x0000_s1052"/>
    <customShpInfo spid="_x0000_s1053"/>
    <customShpInfo spid="_x0000_s1049"/>
    <customShpInfo spid="_x0000_s1054"/>
    <customShpInfo spid="_x0000_s1055"/>
    <customShpInfo spid="_x0000_s1056"/>
    <customShpInfo spid="_x0000_s1057"/>
    <customShpInfo spid="_x0000_s1058"/>
    <customShpInfo spid="_x0000_s1046"/>
    <customShpInfo spid="_x0000_s1059"/>
    <customShpInfo spid="_x0000_s1037"/>
    <customShpInfo spid="_x0000_s103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646946-ACF0-47A2-9B88-083F219DA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235</Words>
  <Characters>1343</Characters>
  <Lines>11</Lines>
  <Paragraphs>3</Paragraphs>
  <TotalTime>0</TotalTime>
  <ScaleCrop>false</ScaleCrop>
  <LinksUpToDate>false</LinksUpToDate>
  <CharactersWithSpaces>1575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2020-03-18T05:44:00Z</dcterms:created>
  <dc:creator>裴建君2</dc:creator>
  <cp:lastModifiedBy>王芊</cp:lastModifiedBy>
  <cp:lastPrinted>2020-07-02T09:03:00Z</cp:lastPrinted>
  <dcterms:modified xsi:type="dcterms:W3CDTF">2022-05-24T02:06:08Z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