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7</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2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bookmarkStart w:id="0" w:name="_GoBack"/>
      <w:bookmarkEnd w:id="0"/>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内保外贷担保履约对外债权登记</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内保外贷担保履约对外债权登记办事指南</w:t>
      </w:r>
    </w:p>
    <w:p>
      <w:pPr>
        <w:numPr>
          <w:ilvl w:val="0"/>
          <w:numId w:val="1"/>
        </w:numPr>
        <w:adjustRightInd w:val="0"/>
        <w:snapToGrid w:val="0"/>
        <w:spacing w:line="360" w:lineRule="auto"/>
        <w:ind w:left="0" w:leftChars="0" w:firstLine="420" w:firstLineChars="0"/>
        <w:rPr>
          <w:rFonts w:ascii="Times New Roman" w:hAnsi="Times New Roman" w:eastAsia="黑体" w:cs="Times New Roman"/>
          <w:sz w:val="30"/>
          <w:szCs w:val="30"/>
        </w:rPr>
      </w:pPr>
      <w:r>
        <w:rPr>
          <w:rFonts w:ascii="Times New Roman" w:hAnsi="黑体" w:eastAsia="黑体" w:cs="Times New Roman"/>
          <w:sz w:val="30"/>
          <w:szCs w:val="30"/>
        </w:rPr>
        <w:t>办理依据</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widowControl/>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《国家外汇管理局关于发布〈跨境担保外汇管理规定〉的通知》（汇发〔2014〕29号）。</w:t>
      </w:r>
    </w:p>
    <w:p>
      <w:pPr>
        <w:widowControl/>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《国家外汇管理局关于进一步推进外汇管理改革完善真实合规性审核的通知》（汇发〔2017〕3号）。</w:t>
      </w:r>
    </w:p>
    <w:p>
      <w:pPr>
        <w:numPr>
          <w:ilvl w:val="0"/>
          <w:numId w:val="1"/>
        </w:numPr>
        <w:adjustRightInd w:val="0"/>
        <w:snapToGrid w:val="0"/>
        <w:spacing w:line="360" w:lineRule="auto"/>
        <w:ind w:left="0" w:leftChars="0" w:firstLine="420" w:firstLineChars="0"/>
        <w:outlineLvl w:val="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国家外汇管理局湖南省分局</w:t>
      </w:r>
      <w:r>
        <w:rPr>
          <w:rFonts w:ascii="Times New Roman" w:hAnsi="Times New Roman" w:eastAsia="仿宋_GB2312" w:cs="Times New Roman"/>
          <w:sz w:val="30"/>
          <w:szCs w:val="30"/>
        </w:rPr>
        <w:t>。</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服务对象</w:t>
      </w:r>
    </w:p>
    <w:p>
      <w:pPr>
        <w:numPr>
          <w:ilvl w:val="0"/>
          <w:numId w:val="3"/>
        </w:numPr>
        <w:adjustRightInd w:val="0"/>
        <w:snapToGrid w:val="0"/>
        <w:spacing w:line="360" w:lineRule="auto"/>
        <w:ind w:left="0" w:leftChars="0" w:firstLine="420" w:firstLineChars="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内保外贷发生担保履约的，成为对外债权人的境内担保人或境内反担保人；</w:t>
      </w:r>
    </w:p>
    <w:p>
      <w:pPr>
        <w:numPr>
          <w:ilvl w:val="0"/>
          <w:numId w:val="3"/>
        </w:numPr>
        <w:adjustRightInd w:val="0"/>
        <w:snapToGrid w:val="0"/>
        <w:spacing w:line="360" w:lineRule="auto"/>
        <w:ind w:left="0" w:leftChars="0" w:firstLine="420" w:firstLineChars="0"/>
        <w:rPr>
          <w:rFonts w:ascii="Times New Roman" w:hAnsi="Times New Roman" w:eastAsia="黑体" w:cs="Times New Roman"/>
          <w:sz w:val="30"/>
          <w:szCs w:val="30"/>
        </w:rPr>
      </w:pPr>
      <w:r>
        <w:rPr>
          <w:rFonts w:hint="eastAsia" w:ascii="Times New Roman" w:hAnsi="Times New Roman" w:eastAsia="仿宋_GB2312" w:cs="Times New Roman"/>
          <w:sz w:val="30"/>
          <w:szCs w:val="30"/>
        </w:rPr>
        <w:t>境内担保人或境内反担保人注册地在长沙（不含浏阳）。</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numPr>
          <w:ilvl w:val="0"/>
          <w:numId w:val="1"/>
        </w:numPr>
        <w:adjustRightInd w:val="0"/>
        <w:snapToGrid w:val="0"/>
        <w:spacing w:line="360" w:lineRule="auto"/>
        <w:ind w:left="0" w:leftChars="0" w:firstLine="420" w:firstLineChars="0"/>
        <w:rPr>
          <w:rFonts w:ascii="Times New Roman" w:hAnsi="Times New Roman" w:eastAsia="黑体" w:cs="Times New Roman"/>
          <w:sz w:val="30"/>
          <w:szCs w:val="30"/>
        </w:rPr>
      </w:pPr>
      <w:r>
        <w:rPr>
          <w:rFonts w:ascii="Times New Roman" w:hAnsi="黑体" w:eastAsia="黑体" w:cs="Times New Roman"/>
          <w:sz w:val="30"/>
          <w:szCs w:val="30"/>
        </w:rPr>
        <w:t>办事条件</w:t>
      </w:r>
    </w:p>
    <w:p>
      <w:pPr>
        <w:widowControl/>
        <w:numPr>
          <w:ilvl w:val="0"/>
          <w:numId w:val="4"/>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内保外贷发生担保履约的，成为对外债权人的境内担保人或境内反担保人，应办理对外债权登记。</w:t>
      </w:r>
    </w:p>
    <w:p>
      <w:pPr>
        <w:widowControl/>
        <w:numPr>
          <w:ilvl w:val="0"/>
          <w:numId w:val="4"/>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债权人为非银行机构的，应在担保履约后15个工作日内到所在地外汇局办理对外债权登记，并按规定办理与对外债权相关的变更、注销手续。</w:t>
      </w:r>
    </w:p>
    <w:p>
      <w:pPr>
        <w:widowControl/>
        <w:numPr>
          <w:ilvl w:val="0"/>
          <w:numId w:val="4"/>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numPr>
          <w:ilvl w:val="0"/>
          <w:numId w:val="1"/>
        </w:numPr>
        <w:adjustRightInd w:val="0"/>
        <w:snapToGrid w:val="0"/>
        <w:spacing w:line="360" w:lineRule="auto"/>
        <w:ind w:left="0" w:leftChars="0" w:firstLine="420" w:firstLineChars="0"/>
        <w:rPr>
          <w:rFonts w:ascii="Times New Roman" w:hAnsi="黑体" w:eastAsia="黑体" w:cs="Times New Roman"/>
          <w:sz w:val="30"/>
          <w:szCs w:val="30"/>
        </w:rPr>
      </w:pPr>
      <w:r>
        <w:rPr>
          <w:rFonts w:ascii="Times New Roman" w:hAnsi="黑体" w:eastAsia="黑体" w:cs="Times New Roman"/>
          <w:sz w:val="30"/>
          <w:szCs w:val="30"/>
        </w:rPr>
        <w:t>申请材料</w:t>
      </w:r>
    </w:p>
    <w:tbl>
      <w:tblPr>
        <w:tblStyle w:val="13"/>
        <w:tblW w:w="79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
        <w:gridCol w:w="3222"/>
        <w:gridCol w:w="1701"/>
        <w:gridCol w:w="425"/>
        <w:gridCol w:w="993"/>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 w:type="dxa"/>
            <w:vAlign w:val="center"/>
          </w:tcPr>
          <w:p>
            <w:pPr>
              <w:ind w:left="-141" w:leftChars="-67" w:right="-108"/>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222" w:type="dxa"/>
            <w:vAlign w:val="center"/>
          </w:tcPr>
          <w:p>
            <w:pPr>
              <w:ind w:left="-84" w:leftChars="-40" w:right="-116"/>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1701" w:type="dxa"/>
            <w:vAlign w:val="center"/>
          </w:tcPr>
          <w:p>
            <w:pPr>
              <w:ind w:left="-126" w:leftChars="-60" w:right="-125"/>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w:t>
            </w:r>
          </w:p>
          <w:p>
            <w:pPr>
              <w:ind w:left="-126" w:leftChars="-60" w:right="-125"/>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复印件</w:t>
            </w:r>
          </w:p>
        </w:tc>
        <w:tc>
          <w:tcPr>
            <w:tcW w:w="425" w:type="dxa"/>
            <w:vAlign w:val="center"/>
          </w:tcPr>
          <w:p>
            <w:pPr>
              <w:ind w:left="-90" w:leftChars="-43" w:right="-104"/>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993" w:type="dxa"/>
            <w:vAlign w:val="center"/>
          </w:tcPr>
          <w:p>
            <w:pPr>
              <w:ind w:left="-111" w:leftChars="-53" w:right="-89" w:firstLine="111" w:firstLineChars="46"/>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w:t>
            </w:r>
          </w:p>
          <w:p>
            <w:pPr>
              <w:ind w:left="-111" w:leftChars="-53" w:right="-89" w:firstLine="111" w:firstLineChars="46"/>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电子</w:t>
            </w:r>
          </w:p>
        </w:tc>
        <w:tc>
          <w:tcPr>
            <w:tcW w:w="1206" w:type="dxa"/>
            <w:vAlign w:val="center"/>
          </w:tcPr>
          <w:p>
            <w:pPr>
              <w:ind w:left="-94" w:leftChars="-45" w:right="-73" w:firstLine="94" w:firstLineChars="39"/>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 w:type="dxa"/>
            <w:vAlign w:val="center"/>
          </w:tcPr>
          <w:p>
            <w:pPr>
              <w:ind w:left="-141" w:leftChars="-67" w:right="-107" w:rightChars="-51"/>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222" w:type="dxa"/>
            <w:vAlign w:val="center"/>
          </w:tcPr>
          <w:p>
            <w:pPr>
              <w:ind w:left="-2" w:leftChars="-1" w:right="33"/>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包括内保外贷签约登记办理情况、担保履约的原因、履约资金来源、境外债务人还款计划及未来还款资金来源等</w:t>
            </w:r>
            <w:r>
              <w:rPr>
                <w:rFonts w:hint="eastAsia" w:ascii="Times New Roman" w:hAnsi="Times New Roman" w:eastAsia="仿宋_GB2312" w:cs="Times New Roman"/>
                <w:sz w:val="24"/>
                <w:szCs w:val="24"/>
              </w:rPr>
              <w:t>）</w:t>
            </w:r>
          </w:p>
        </w:tc>
        <w:tc>
          <w:tcPr>
            <w:tcW w:w="1701" w:type="dxa"/>
            <w:vAlign w:val="center"/>
          </w:tcPr>
          <w:p>
            <w:pPr>
              <w:ind w:right="-125"/>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425" w:type="dxa"/>
            <w:vAlign w:val="center"/>
          </w:tcPr>
          <w:p>
            <w:pPr>
              <w:ind w:left="-90" w:leftChars="-43" w:right="-104"/>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3" w:type="dxa"/>
            <w:vAlign w:val="center"/>
          </w:tcPr>
          <w:p>
            <w:pPr>
              <w:ind w:left="-111" w:leftChars="-53" w:right="-89" w:firstLine="110" w:firstLineChars="46"/>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206" w:type="dxa"/>
            <w:vAlign w:val="center"/>
          </w:tcPr>
          <w:p>
            <w:pPr>
              <w:ind w:right="-73"/>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 w:hRule="atLeast"/>
        </w:trPr>
        <w:tc>
          <w:tcPr>
            <w:tcW w:w="430" w:type="dxa"/>
            <w:vAlign w:val="center"/>
          </w:tcPr>
          <w:p>
            <w:pPr>
              <w:ind w:left="-141" w:leftChars="-67" w:right="-10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222" w:type="dxa"/>
            <w:vAlign w:val="center"/>
          </w:tcPr>
          <w:p>
            <w:pPr>
              <w:ind w:left="-2" w:leftChars="-1" w:right="33"/>
              <w:jc w:val="left"/>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担保履约证明材料</w:t>
            </w:r>
          </w:p>
        </w:tc>
        <w:tc>
          <w:tcPr>
            <w:tcW w:w="1701" w:type="dxa"/>
            <w:vAlign w:val="center"/>
          </w:tcPr>
          <w:p>
            <w:pPr>
              <w:ind w:right="-125"/>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425" w:type="dxa"/>
            <w:vAlign w:val="center"/>
          </w:tcPr>
          <w:p>
            <w:pPr>
              <w:ind w:left="-90" w:leftChars="-43" w:right="-104"/>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3" w:type="dxa"/>
            <w:vAlign w:val="center"/>
          </w:tcPr>
          <w:p>
            <w:pPr>
              <w:ind w:left="-111" w:leftChars="-53" w:right="-89" w:firstLine="110" w:firstLineChars="46"/>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206" w:type="dxa"/>
            <w:vAlign w:val="center"/>
          </w:tcPr>
          <w:p>
            <w:pPr>
              <w:ind w:right="-73"/>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bl>
    <w:p>
      <w:pPr>
        <w:numPr>
          <w:ilvl w:val="0"/>
          <w:numId w:val="1"/>
        </w:numPr>
        <w:adjustRightInd w:val="0"/>
        <w:snapToGrid w:val="0"/>
        <w:spacing w:line="360" w:lineRule="auto"/>
        <w:ind w:left="0" w:leftChars="0" w:firstLine="420" w:firstLineChars="0"/>
        <w:rPr>
          <w:rFonts w:hint="eastAsia" w:ascii="Times New Roman" w:hAnsi="黑体" w:eastAsia="黑体" w:cs="Times New Roman"/>
          <w:sz w:val="30"/>
          <w:szCs w:val="30"/>
          <w:lang w:eastAsia="zh-CN"/>
        </w:rPr>
      </w:pPr>
      <w:r>
        <w:rPr>
          <w:rFonts w:hint="eastAsia" w:ascii="Times New Roman" w:hAnsi="黑体" w:eastAsia="黑体" w:cs="Times New Roman"/>
          <w:sz w:val="30"/>
          <w:szCs w:val="30"/>
          <w:lang w:eastAsia="zh-CN"/>
        </w:rPr>
        <w:t>申请接受</w:t>
      </w:r>
    </w:p>
    <w:p>
      <w:pPr>
        <w:adjustRightIn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numPr>
          <w:ilvl w:val="0"/>
          <w:numId w:val="1"/>
        </w:numPr>
        <w:adjustRightInd w:val="0"/>
        <w:snapToGrid w:val="0"/>
        <w:spacing w:line="360" w:lineRule="auto"/>
        <w:ind w:left="0" w:leftChars="0" w:firstLine="420" w:firstLineChars="0"/>
        <w:rPr>
          <w:rFonts w:hint="eastAsia" w:ascii="Times New Roman" w:hAnsi="黑体" w:eastAsia="黑体" w:cs="Times New Roman"/>
          <w:sz w:val="30"/>
          <w:szCs w:val="30"/>
          <w:lang w:eastAsia="zh-CN"/>
        </w:rPr>
      </w:pPr>
      <w:r>
        <w:rPr>
          <w:rFonts w:hint="eastAsia" w:ascii="Times New Roman" w:hAnsi="黑体" w:eastAsia="黑体" w:cs="Times New Roman"/>
          <w:sz w:val="30"/>
          <w:szCs w:val="30"/>
          <w:lang w:eastAsia="zh-CN"/>
        </w:rPr>
        <w:t>基本办理流程</w:t>
      </w:r>
    </w:p>
    <w:p>
      <w:pPr>
        <w:tabs>
          <w:tab w:val="left" w:pos="615"/>
        </w:tabs>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ab/>
      </w:r>
      <w:r>
        <w:rPr>
          <w:rFonts w:hint="eastAsia" w:ascii="Times New Roman" w:hAnsi="Times New Roman" w:eastAsia="仿宋_GB2312" w:cs="Times New Roman"/>
          <w:sz w:val="30"/>
          <w:szCs w:val="30"/>
          <w:lang w:eastAsia="zh-CN"/>
        </w:rPr>
        <w:t>（一）</w:t>
      </w:r>
      <w:r>
        <w:rPr>
          <w:rFonts w:ascii="Times New Roman" w:hAnsi="Times New Roman" w:eastAsia="仿宋_GB2312" w:cs="Times New Roman"/>
          <w:sz w:val="30"/>
          <w:szCs w:val="30"/>
        </w:rPr>
        <w:t>申请人提交申请；</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（二）</w:t>
      </w:r>
      <w:r>
        <w:rPr>
          <w:rFonts w:ascii="Times New Roman" w:hAnsi="Times New Roman" w:eastAsia="仿宋_GB2312" w:cs="Times New Roman"/>
          <w:sz w:val="30"/>
          <w:szCs w:val="30"/>
        </w:rPr>
        <w:t>决定是否予以受理；</w:t>
      </w:r>
    </w:p>
    <w:p>
      <w:pPr>
        <w:adjustRightInd w:val="0"/>
        <w:snapToGrid w:val="0"/>
        <w:spacing w:line="360" w:lineRule="auto"/>
        <w:ind w:firstLine="600"/>
        <w:jc w:val="left"/>
        <w:outlineLvl w:val="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（三）</w:t>
      </w:r>
      <w:r>
        <w:rPr>
          <w:rFonts w:ascii="Times New Roman" w:hAnsi="Times New Roman" w:eastAsia="仿宋_GB2312" w:cs="Times New Roman"/>
          <w:sz w:val="30"/>
          <w:szCs w:val="30"/>
        </w:rPr>
        <w:t>不予受理的，出具不予受理通知书；</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（四）</w:t>
      </w: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（五）</w:t>
      </w: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十一</w:t>
      </w:r>
      <w:r>
        <w:rPr>
          <w:rFonts w:hint="eastAsia" w:ascii="Times New Roman" w:hAnsi="Times New Roman" w:eastAsia="黑体" w:cs="Times New Roman"/>
          <w:sz w:val="30"/>
          <w:lang w:eastAsia="zh-CN"/>
        </w:rPr>
        <w:t>、</w:t>
      </w:r>
      <w:r>
        <w:rPr>
          <w:rFonts w:ascii="Times New Roman" w:hAnsi="Times New Roman" w:eastAsia="黑体" w:cs="Times New Roman"/>
          <w:sz w:val="30"/>
        </w:rPr>
        <w:t>审批收费依据及标准</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仿宋_GB2312" w:cs="Times New Roman"/>
          <w:sz w:val="30"/>
        </w:rPr>
        <w:t>不收费。</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十二</w:t>
      </w:r>
      <w:r>
        <w:rPr>
          <w:rFonts w:hint="eastAsia" w:ascii="Times New Roman" w:hAnsi="Times New Roman" w:eastAsia="黑体" w:cs="Times New Roman"/>
          <w:sz w:val="30"/>
          <w:lang w:eastAsia="zh-CN"/>
        </w:rPr>
        <w:t>、</w:t>
      </w:r>
      <w:r>
        <w:rPr>
          <w:rFonts w:ascii="Times New Roman" w:hAnsi="Times New Roman" w:eastAsia="黑体" w:cs="Times New Roman"/>
          <w:sz w:val="30"/>
        </w:rPr>
        <w:t>审批结果</w:t>
      </w:r>
    </w:p>
    <w:p>
      <w:pPr>
        <w:adjustRightInd w:val="0"/>
        <w:snapToGrid w:val="0"/>
        <w:spacing w:line="360" w:lineRule="auto"/>
        <w:ind w:firstLine="585"/>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通过现场告知或电话等方式通知申请人，并通过现场领取或通过邮寄等方式将结果送达。</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adjustRightInd w:val="0"/>
        <w:snapToGrid w:val="0"/>
        <w:spacing w:line="360" w:lineRule="auto"/>
        <w:ind w:firstLine="600"/>
        <w:rPr>
          <w:rFonts w:hint="eastAsia" w:ascii="Times New Roman" w:hAnsi="Times New Roman" w:eastAsia="黑体" w:cs="Times New Roman"/>
          <w:sz w:val="30"/>
        </w:rPr>
      </w:pPr>
      <w:r>
        <w:rPr>
          <w:rFonts w:ascii="Times New Roman" w:hAnsi="Times New Roman" w:eastAsia="黑体" w:cs="Times New Roman"/>
          <w:sz w:val="30"/>
        </w:rPr>
        <w:t>十五</w:t>
      </w:r>
      <w:r>
        <w:rPr>
          <w:rFonts w:hint="eastAsia" w:ascii="Times New Roman" w:hAnsi="Times New Roman" w:eastAsia="黑体" w:cs="Times New Roman"/>
          <w:sz w:val="30"/>
          <w:lang w:eastAsia="zh-CN"/>
        </w:rPr>
        <w:t>、</w:t>
      </w:r>
      <w:r>
        <w:rPr>
          <w:rFonts w:hint="eastAsia" w:ascii="Times New Roman" w:hAnsi="Times New Roman" w:eastAsia="黑体" w:cs="Times New Roman"/>
          <w:sz w:val="30"/>
        </w:rPr>
        <w:t>办理地点、时间及联系方式</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办公地址：长沙市芙蓉区蔡锷中路2号B座809室。</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办公时间：5月1日-9月30日：8:30-12:00；14:00-17:00;其他日期：8:30-12:00；14:30-17:30（法定节假日除外）。</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联系电话：0731-84301</w:t>
      </w:r>
      <w:r>
        <w:rPr>
          <w:rFonts w:hint="eastAsia" w:ascii="Times New Roman" w:hAnsi="Times New Roman" w:eastAsia="仿宋_GB2312" w:cs="Times New Roman"/>
          <w:sz w:val="30"/>
          <w:lang w:val="en-US" w:eastAsia="zh-CN"/>
        </w:rPr>
        <w:t>611</w:t>
      </w:r>
      <w:r>
        <w:rPr>
          <w:rFonts w:hint="eastAsia" w:ascii="Times New Roman" w:hAnsi="Times New Roman" w:eastAsia="仿宋_GB2312" w:cs="Times New Roman"/>
          <w:sz w:val="30"/>
        </w:rPr>
        <w:t>。</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通讯地址：长沙市芙蓉区蔡锷中路2号中国人民银行长沙中心支行资本项目管理处。</w:t>
      </w:r>
    </w:p>
    <w:p>
      <w:pPr>
        <w:adjustRightInd w:val="0"/>
        <w:snapToGrid w:val="0"/>
        <w:spacing w:line="360" w:lineRule="auto"/>
        <w:ind w:firstLine="600"/>
        <w:rPr>
          <w:rFonts w:ascii="Times New Roman" w:hAnsi="Times New Roman" w:eastAsia="仿宋_GB2312" w:cs="Times New Roman"/>
          <w:sz w:val="30"/>
        </w:rPr>
      </w:pPr>
      <w:r>
        <w:rPr>
          <w:rFonts w:hint="eastAsia" w:ascii="Times New Roman" w:hAnsi="Times New Roman" w:eastAsia="仿宋_GB2312" w:cs="Times New Roman"/>
          <w:sz w:val="30"/>
        </w:rPr>
        <w:t>邮政编码：410005。</w:t>
      </w:r>
    </w:p>
    <w:p>
      <w:pPr>
        <w:adjustRightInd w:val="0"/>
        <w:snapToGrid w:val="0"/>
        <w:spacing w:line="360" w:lineRule="auto"/>
        <w:ind w:firstLine="600"/>
        <w:rPr>
          <w:rFonts w:ascii="Times New Roman" w:hAnsi="Times New Roman" w:eastAsia="黑体"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pict>
          <v:group id="Group 1149" o:spid="_x0000_s1026" o:spt="203" style="position:absolute;left:0pt;margin-left:-13.25pt;margin-top:14.1pt;height:586.05pt;width:446.05pt;z-index:252250112;mso-width-relative:page;mso-height-relative:page;" coordsize="8921,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">
            <o:lock v:ext="edit"/>
            <v:rect id="Rectangle 1150" o:spid="_x0000_s1027" o:spt="1" style="position:absolute;left:2908;top:8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path/>
              <v:fill focussize="0,0"/>
              <v:stroke/>
              <v:imagedata o:title=""/>
              <o:lock v:ext="edit"/>
              <v:textbox>
                <w:txbxContent>
                  <w:p>
                    <w:pPr>
                      <w:jc w:val="center"/>
                    </w:pPr>
                    <w:r>
                      <w:t>审核</w:t>
                    </w:r>
                  </w:p>
                </w:txbxContent>
              </v:textbox>
            </v:rect>
            <v:shape id="AutoShape 1151" o:spid="_x0000_s1028" o:spt="116" type="#_x0000_t116" style="position:absolute;left:4420;top:10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5v8IA&#10;AADaAAAADwAAAGRycy9kb3ducmV2LnhtbESPzWrDMBCE74G+g9hALqGRU4opbpRgDKU5BEr+7ou1&#10;tU2klZGU2Hn7qFDIcZiZb5jVZrRG3MiHzrGC5SIDQVw73XGj4HT8ev0AESKyRuOYFNwpwGb9Mllh&#10;od3Ae7odYiMShEOBCtoY+0LKULdkMSxcT5y8X+ctxiR9I7XHIcGtkW9ZlkuLHaeFFnuqWqovh6tV&#10;8LMzlTcVDd/V/bw9nd/L+S4vlZpNx/ITRKQxPsP/7a1WkMPflXQ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n/m/wgAAANoAAAAPAAAAAAAAAAAAAAAAAJgCAABkcnMvZG93&#10;bnJldi54bWxQSwUGAAAAAAQABAD1AAAAhwM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1152" o:spid="_x0000_s1029" o:spt="116" type="#_x0000_t116" style="position:absolute;left:695;top:10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NcJMIA&#10;AADaAAAADwAAAGRycy9kb3ducmV2LnhtbESPQWsCMRSE7wX/Q3iCl6JZpVhZjbIsFD0IpVbvj81z&#10;dzF5WZLUXf+9KRR6HGbmG2azG6wRd/KhdaxgPstAEFdOt1wrOH9/TFcgQkTWaByTggcF2G1HLxvM&#10;tev5i+6nWIsE4ZCjgibGLpcyVA1ZDDPXESfv6rzFmKSvpfbYJ7g1cpFlS2mx5bTQYEdlQ9Xt9GMV&#10;fB5N6U1J/b58XA7ny1vxelwWSk3GQ7EGEWmI/+G/9kEreIffK+kGyO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01wkwgAAANoAAAAPAAAAAAAAAAAAAAAAAJgCAABkcnMvZG93&#10;bnJldi54bWxQSwUGAAAAAAQABAD1AAAAhw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1153" o:spid="_x0000_s1030" o:spt="32" type="#_x0000_t32" style="position:absolute;left:4382;top:7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path arrowok="t"/>
              <v:fill on="f" focussize="0,0"/>
              <v:stroke endarrow="block"/>
              <v:imagedata o:title=""/>
              <o:lock v:ext="edit"/>
            </v:shape>
            <v:shape id="AutoShape 1154" o:spid="_x0000_s1031" o:spt="32" type="#_x0000_t32" style="position:absolute;left:6331;top:9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path arrowok="t"/>
              <v:fill on="f" focussize="0,0"/>
              <v:stroke endarrow="block"/>
              <v:imagedata o:title=""/>
              <o:lock v:ext="edit"/>
            </v:shape>
            <v:shape id="AutoShape 1155" o:spid="_x0000_s1032" o:spt="32" type="#_x0000_t32" style="position:absolute;left:2358;top:9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path arrowok="t"/>
              <v:fill on="f" focussize="0,0"/>
              <v:stroke endarrow="block"/>
              <v:imagedata o:title=""/>
              <o:lock v:ext="edit"/>
            </v:shape>
            <v:shape id="AutoShape 1156" o:spid="_x0000_s1033" o:spt="32" type="#_x0000_t32" style="position:absolute;left:4383;top:8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path arrowok="t"/>
              <v:fill on="f" focussize="0,0"/>
              <v:stroke/>
              <v:imagedata o:title=""/>
              <o:lock v:ext="edit"/>
            </v:shape>
            <v:shape id="AutoShape 1157" o:spid="_x0000_s1034" o:spt="32" type="#_x0000_t32" style="position:absolute;left:2359;top:9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path arrowok="t"/>
              <v:fill on="f" focussize="0,0"/>
              <v:stroke/>
              <v:imagedata o:title=""/>
              <o:lock v:ext="edit"/>
            </v:shape>
            <v:group id="Group 1158" o:spid="_x0000_s1035"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o:lock v:ext="edit"/>
              <v:shape id="AutoShape 1159" o:spid="_x0000_s1036" o:spt="32" type="#_x0000_t32" style="position:absolute;left:5893;top:6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path arrowok="t"/>
                <v:fill on="f" focussize="0,0"/>
                <v:stroke endarrow="block"/>
                <v:imagedata o:title=""/>
                <o:lock v:ext="edit"/>
              </v:shape>
              <v:group id="Group 1160" o:spid="_x0000_s1037"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o:lock v:ext="edit"/>
                <v:shape id="AutoShape 1161" o:spid="_x0000_s1038" o:spt="34" type="#_x0000_t34" style="position:absolute;left:6366;top:3154;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bl8EAAADbAAAADwAAAGRycy9kb3ducmV2LnhtbERPS4vCMBC+C/6HMMLeNHUFlWoUXZFd&#10;8OQD9Dg0Y1tNJqVJtfvvzcKCt/n4njNfttaIB9W+dKxgOEhAEGdOl5wrOB23/SkIH5A1Gsek4Jc8&#10;LBfdzhxT7Z68p8ch5CKGsE9RQRFClUrps4Is+oGriCN3dbXFEGGdS13jM4ZbIz+TZCwtlhwbCqzo&#10;q6DsfmisgvVu3YxGZt+E8el2mZw3ZvU9HSr10WtXMxCB2vAW/7t/dJw/gb9f4gFy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XNuXwQAAANsAAAAPAAAAAAAAAAAAAAAA&#10;AKECAABkcnMvZG93bnJldi54bWxQSwUGAAAAAAQABAD5AAAAjwMAAAAA&#10;" adj="33">
                  <v:path arrowok="t"/>
                  <v:fill on="f" focussize="0,0"/>
                  <v:stroke joinstyle="miter"/>
                  <v:imagedata o:title=""/>
                  <o:lock v:ext="edit"/>
                </v:shape>
                <v:shape id="Text Box 1162" o:spid="_x0000_s1039" o:spt="202" type="#_x0000_t202" style="position:absolute;left:7996;top:2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KMMIA&#10;AADbAAAADwAAAGRycy9kb3ducmV2LnhtbESPQYvCQAyF7wv+hyGCF9GpPSxSHUVE0avuXryFTmyL&#10;nUzbGW3dX785LOwt4b2892W9HVytXtSFyrOBxTwBRZx7W3Fh4PvrOFuCChHZYu2ZDLwpwHYz+lhj&#10;Zn3PF3pdY6EkhEOGBsoYm0zrkJfkMMx9Qyza3XcOo6xdoW2HvYS7WqdJ8qkdViwNJTa0Lyl/XJ/O&#10;gO8Pb+epTdLp7ced9rv2ck9bYybjYbcCFWmI/+a/67MVfIGV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i8owwgAAANsAAAAPAAAAAAAAAAAAAAAAAJgCAABkcnMvZG93&#10;bnJldi54bWxQSwUGAAAAAAQABAD1AAAAhwMAAAAA&#10;">
                  <v:path/>
                  <v:fill focussize="0,0"/>
                  <v:stroke color="#FFFFFF" joinstyle="miter"/>
                  <v:imagedata o:title=""/>
                  <o:lock v:ext="edit"/>
                  <v:textbox>
                    <w:txbxContent>
                      <w:p>
                        <w:pPr>
                          <w:jc w:val="center"/>
                        </w:pPr>
                        <w:r>
                          <w:rPr>
                            <w:rFonts w:hint="eastAsia"/>
                          </w:rPr>
                          <w:t>不能提供符合受理要求的</w:t>
                        </w:r>
                      </w:p>
                      <w:p>
                        <w:pPr>
                          <w:jc w:val="center"/>
                        </w:pPr>
                        <w:r>
                          <w:rPr>
                            <w:rFonts w:hint="eastAsia"/>
                          </w:rPr>
                          <w:t>材料</w:t>
                        </w:r>
                      </w:p>
                    </w:txbxContent>
                  </v:textbox>
                </v:shape>
                <v:shape id="AutoShape 1163" o:spid="_x0000_s1040" o:spt="32" type="#_x0000_t32" style="position:absolute;left:5893;top:4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path arrowok="t"/>
                  <v:fill on="f" focussize="0,0"/>
                  <v:stroke endarrow="block"/>
                  <v:imagedata o:title=""/>
                  <o:lock v:ext="edit"/>
                </v:shape>
                <v:shape id="Text Box 1164" o:spid="_x0000_s1041" o:spt="202" type="#_x0000_t202" style="position:absolute;left:2568;top:6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EMi7wA&#10;AADbAAAADwAAAGRycy9kb3ducmV2LnhtbERPuwrCMBTdBf8hXMFFNLWDSDWKiKKrj8Xt0lzbYnPT&#10;NtFWv94MguPhvJfrzpTiRY0rLCuYTiIQxKnVBWcKrpf9eA7CeWSNpWVS8CYH61W/t8RE25ZP9Dr7&#10;TIQQdgkqyL2vEildmpNBN7EVceDutjHoA2wyqRtsQ7gpZRxFM2mw4NCQY0XbnNLH+WkU2Hb3Npbq&#10;KB7dPuaw3dSne1wrNRx0mwUIT53/i3/uo1YQh/X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kQyLvAAAANsAAAAPAAAAAAAAAAAAAAAAAJgCAABkcnMvZG93bnJldi54&#10;bWxQSwUGAAAAAAQABAD1AAAAgQMAAAAA&#10;">
                  <v:path/>
                  <v:fill focussize="0,0"/>
                  <v:stroke color="#FFFFFF" joinstyle="miter"/>
                  <v:imagedata o:title=""/>
                  <o:lock v:ext="edit"/>
                  <v:textbox>
                    <w:txbxContent>
                      <w:p>
                        <w:pPr>
                          <w:jc w:val="center"/>
                        </w:pPr>
                        <w:r>
                          <w:rPr>
                            <w:rFonts w:hint="eastAsia"/>
                          </w:rPr>
                          <w:t>材料齐全并符合受理要求</w:t>
                        </w:r>
                      </w:p>
                    </w:txbxContent>
                  </v:textbox>
                </v:shape>
                <v:shape id="AutoShape 1165" o:spid="_x0000_s1042" o:spt="4" type="#_x0000_t4" style="position:absolute;left:4156;top:4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GhMIA&#10;AADbAAAADwAAAGRycy9kb3ducmV2LnhtbESPQYvCMBSE7wv+h/AEb2uqB5FqFBEEWb3Y3R/wbJ5N&#10;tXmpSbat/36zsLDHYWa+YdbbwTaiIx9qxwpm0wwEcel0zZWCr8/D+xJEiMgaG8ek4EUBtpvR2xpz&#10;7Xq+UFfESiQIhxwVmBjbXMpQGrIYpq4lTt7NeYsxSV9J7bFPcNvIeZYtpMWa04LBlvaGykfxbRXc&#10;r63pz8vnLStK38mPsz8+LyelJuNhtwIRaYj/4b/2USuYz+D3S/oB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cwaEwgAAANsAAAAPAAAAAAAAAAAAAAAAAJgCAABkcnMvZG93&#10;bnJldi54bWxQSwUGAAAAAAQABAD1AAAAhwMAAAAA&#10;">
                  <v:path/>
                  <v:fill focussize="0,0"/>
                  <v:stroke joinstyle="miter"/>
                  <v:imagedata o:title=""/>
                  <o:lock v:ext="edit"/>
                  <v:textbox>
                    <w:txbxContent>
                      <w:p>
                        <w:pPr>
                          <w:jc w:val="center"/>
                        </w:pPr>
                      </w:p>
                      <w:p>
                        <w:pPr>
                          <w:jc w:val="center"/>
                        </w:pPr>
                        <w:r>
                          <w:rPr>
                            <w:rFonts w:hint="eastAsia"/>
                          </w:rPr>
                          <w:t>申请人补充材料</w:t>
                        </w:r>
                      </w:p>
                    </w:txbxContent>
                  </v:textbox>
                </v:shape>
                <v:rect id="Rectangle 1166" o:spid="_x0000_s1043" o:spt="1" style="position:absolute;left:2568;top:7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1167" o:spid="_x0000_s1044" o:spt="1" style="position:absolute;left:4566;top:3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path/>
                  <v:fill focussize="0,0"/>
                  <v:stroke/>
                  <v:imagedata o:title=""/>
                  <o:lock v:ext="edit"/>
                  <v:textbox>
                    <w:txbxContent>
                      <w:p>
                        <w:pPr>
                          <w:jc w:val="center"/>
                        </w:pPr>
                        <w:r>
                          <w:rPr>
                            <w:rFonts w:hint="eastAsia"/>
                          </w:rPr>
                          <w:t>材料不全或不符合法定形式的，</w:t>
                        </w:r>
                      </w:p>
                      <w:p>
                        <w:pPr>
                          <w:jc w:val="center"/>
                        </w:pPr>
                        <w:r>
                          <w:rPr>
                            <w:rFonts w:hint="eastAsia"/>
                          </w:rPr>
                          <w:t>一次性告知补正材料，</w:t>
                        </w:r>
                      </w:p>
                      <w:p>
                        <w:pPr>
                          <w:jc w:val="center"/>
                        </w:pPr>
                        <w:r>
                          <w:rPr>
                            <w:rFonts w:hint="eastAsia"/>
                          </w:rPr>
                          <w:t>出具行政审批补正材料通知书</w:t>
                        </w:r>
                      </w:p>
                      <w:p/>
                    </w:txbxContent>
                  </v:textbox>
                </v:rect>
                <v:shape id="AutoShape 1168" o:spid="_x0000_s1045" o:spt="116" type="#_x0000_t116" style="position:absolute;left:4566;top:1337;height:1423;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7p08MA&#10;AADbAAAADwAAAGRycy9kb3ducmV2LnhtbESPT4vCMBTE78J+h/AEL7KmKyJL1yilsOhBkPXP/dG8&#10;bYvJS0mytn57Iwh7HGbmN8xqM1gjbuRD61jBxywDQVw53XKt4Hz6fv8EESKyRuOYFNwpwGb9Nlph&#10;rl3PP3Q7xlokCIccFTQxdrmUoWrIYpi5jjh5v85bjEn6WmqPfYJbI+dZtpQWW04LDXZUNlRdj39W&#10;wWFvSm9K6rfl/bI7XxbFdL8slJqMh+ILRKQh/odf7Z1WMF/A80v6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7p08MAAADbAAAADwAAAAAAAAAAAAAAAACYAgAAZHJzL2Rv&#10;d25yZXYueG1sUEsFBgAAAAAEAAQA9QAAAIgDA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1169" o:spid="_x0000_s1046" o:spt="203" style="position:absolute;left:0;top:0;height:7424;width:4594;" coordsize="4594,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o:lock v:ext="edit"/>
                  <v:shape id="AutoShape 1170" o:spid="_x0000_s1047" o:spt="32" type="#_x0000_t32" style="position:absolute;left:3663;top:3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path arrowok="t"/>
                    <v:fill on="f" focussize="0,0"/>
                    <v:stroke endarrow="block"/>
                    <v:imagedata o:title=""/>
                    <o:lock v:ext="edit"/>
                  </v:shape>
                  <v:shape id="AutoShape 1171" o:spid="_x0000_s1048" o:spt="32" type="#_x0000_t32" style="position:absolute;left:1355;top:3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path arrowok="t"/>
                    <v:fill on="f" focussize="0,0"/>
                    <v:stroke/>
                    <v:imagedata o:title=""/>
                    <o:lock v:ext="edit"/>
                  </v:shape>
                  <v:group id="Group 1172" o:spid="_x0000_s1049" o:spt="203" style="position:absolute;left:0;top:0;height:3986;width:3629;" coordsize="3629,3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o:lock v:ext="edit"/>
                    <v:shape id="AutoShape 1173" o:spid="_x0000_s1050" o:spt="32" type="#_x0000_t32" style="position:absolute;left:1396;top:1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path arrowok="t"/>
                      <v:fill on="f" focussize="0,0"/>
                      <v:stroke endarrow="block"/>
                      <v:imagedata o:title=""/>
                      <o:lock v:ext="edit"/>
                    </v:shape>
                    <v:shape id="AutoShape 1174" o:spid="_x0000_s1051" o:spt="32" type="#_x0000_t32" style="position:absolute;left:2400;top:2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path arrowok="t"/>
                      <v:fill on="f" focussize="0,0"/>
                      <v:stroke/>
                      <v:imagedata o:title=""/>
                      <o:lock v:ext="edit"/>
                    </v:shape>
                    <v:shape id="AutoShape 1175" o:spid="_x0000_s1052" o:spt="4" type="#_x0000_t4" style="position:absolute;left:0;top:1936;height:2050;width:277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QWcMA&#10;AADbAAAADwAAAGRycy9kb3ducmV2LnhtbESPUWvCMBSF3wf+h3CFvc1UhSGdUUQQRH2x+gPummvT&#10;rbmpSWy7f78MBj4ezjnf4SzXg21ERz7UjhVMJxkI4tLpmisF18vubQEiRGSNjWNS8EMB1qvRyxJz&#10;7Xo+U1fESiQIhxwVmBjbXMpQGrIYJq4lTt7NeYsxSV9J7bFPcNvIWZa9S4s1pwWDLW0Nld/Fwyr4&#10;+mxNf1rcb1lR+k4eTn5/Px+Veh0Pmw8QkYb4DP+391rBfAp/X9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qQWcMAAADbAAAADwAAAAAAAAAAAAAAAACYAgAAZHJzL2Rv&#10;d25yZXYueG1sUEsFBgAAAAAEAAQA9QAAAIgDA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1176" o:spid="_x0000_s1053" o:spt="116" type="#_x0000_t116" style="position:absolute;left:184;top: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JC4cQA&#10;AADbAAAADwAAAGRycy9kb3ducmV2LnhtbESPT2sCMRTE74V+h/AKvZSarRYpq1GWBakHQeqf+2Pz&#10;3F2avCxJdNdvbwTB4zAzv2Hmy8EacSEfWscKvkYZCOLK6ZZrBYf96vMHRIjIGo1jUnClAMvF68sc&#10;c+16/qPLLtYiQTjkqKCJsculDFVDFsPIdcTJOzlvMSbpa6k99glujRxn2VRabDktNNhR2VD1vztb&#10;BduNKb0pqf8tr8f14fhdfGymhVLvb0MxAxFpiM/wo73WCiZjuH9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CQuHEAAAA2wAAAA8AAAAAAAAAAAAAAAAAmAIAAGRycy9k&#10;b3ducmV2LnhtbFBLBQYAAAAABAAEAPUAAACJAw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1177" o:spid="_x0000_s1054" o:spt="32" type="#_x0000_t32" style="position:absolute;left:1355;top:7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path arrowok="t"/>
                    <v:fill on="f" focussize="0,0"/>
                    <v:stroke endarrow="block"/>
                    <v:imagedata o:title=""/>
                    <o:lock v:ext="edit"/>
                  </v:shape>
                  <v:shape id="AutoShape 1178" o:spid="_x0000_s1055" o:spt="32" type="#_x0000_t32" style="position:absolute;left:3663;top:1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path arrowok="t"/>
                    <v:fill on="f" focussize="0,0"/>
                    <v:stroke/>
                    <v:imagedata o:title=""/>
                    <o:lock v:ext="edit"/>
                  </v:shape>
                  <v:shape id="AutoShape 1179" o:spid="_x0000_s1056" o:spt="32" type="#_x0000_t32" style="position:absolute;left:3663;top:1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MXgcYAAADbAAAADwAAAGRycy9kb3ducmV2LnhtbESPT2vCQBTE7wW/w/KE3urGl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DF4HGAAAA2wAAAA8AAAAAAAAA&#10;AAAAAAAAoQIAAGRycy9kb3ducmV2LnhtbFBLBQYAAAAABAAEAPkAAACUAwAAAAA=&#10;">
                    <v:path arrowok="t"/>
                    <v:fill on="f" focussize="0,0"/>
                    <v:stroke endarrow="block"/>
                    <v:imagedata o:title=""/>
                    <o:lock v:ext="edit"/>
                  </v:shape>
                  <v:shape id="Text Box 1180" o:spid="_x0000_s1057" o:spt="202" type="#_x0000_t202" style="position:absolute;left:597;top:5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2nucMA&#10;AADbAAAADwAAAGRycy9kb3ducmV2LnhtbESPT4vCMBTE7wt+h/AEL4umdkGkGksRF/fqn4u3R/Ns&#10;i81L22Rt3U+/EQSPw8z8hlmng6nFnTpXWVYwn0UgiHOrKy4UnE/f0yUI55E11pZJwYMcpJvRxxoT&#10;bXs+0P3oCxEg7BJUUHrfJFK6vCSDbmYb4uBdbWfQB9kVUnfYB7ipZRxFC2mw4rBQYkPbkvLb8dco&#10;sP3uYSy1Ufx5+TP7bdYernGr1GQ8ZCsQngb/Dr/aP1rB1wK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2nucMAAADbAAAADwAAAAAAAAAAAAAAAACYAgAAZHJzL2Rv&#10;d25yZXYueG1sUEsFBgAAAAAEAAQA9QAAAIgDAAAAAA==&#10;">
                    <v:path/>
                    <v:fill focussize="0,0"/>
                    <v:stroke color="#FFFFFF" joinstyle="miter"/>
                    <v:imagedata o:title=""/>
                    <o:lock v:ext="edit"/>
                    <v:textbox>
                      <w:txbxContent>
                        <w:p>
                          <w:r>
                            <w:rPr>
                              <w:rFonts w:hint="eastAsia"/>
                            </w:rPr>
                            <w:t>是</w:t>
                          </w:r>
                        </w:p>
                      </w:txbxContent>
                    </v:textbox>
                  </v:shape>
                  <v:shape id="Text Box 1181" o:spid="_x0000_s1058" o:spt="202" type="#_x0000_t202" style="position:absolute;left:2799;top:2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Kh38QA&#10;AADbAAAADwAAAGRycy9kb3ducmV2LnhtbESPQWvCQBSE70L/w/IK3nRTCxqiqxS1aBEFo95fs88k&#10;NPs2ZFdN++u7guBxmJlvmMmsNZW4UuNKywre+hEI4szqknMFx8NnLwbhPLLGyjIp+CUHs+lLZ4KJ&#10;tjfe0zX1uQgQdgkqKLyvEyldVpBB17c1cfDOtjHog2xyqRu8Bbip5CCKhtJgyWGhwJrmBWU/6cUo&#10;GGzRf6Xn1WoYb77/jvPFLl6eLkp1X9uPMQhPrX+GH+21VvA+gvuX8APk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Sod/EAAAA2wAAAA8AAAAAAAAAAAAAAAAAmAIAAGRycy9k&#10;b3ducmV2LnhtbFBLBQYAAAAABAAEAPUAAACJAwAAAAA=&#10;">
                    <v:path/>
                    <v:fill focussize="0,0"/>
                    <v:stroke color="#FFFFFF" joinstyle="miter"/>
                    <v:imagedata o:title=""/>
                    <o:lock v:ext="edit"/>
                    <v:textbox style="mso-fit-shape-to-text:t;">
                      <w:txbxContent>
                        <w:p>
                          <w:r>
                            <w:rPr>
                              <w:rFonts w:hint="eastAsia"/>
                            </w:rPr>
                            <w:t>否</w:t>
                          </w:r>
                        </w:p>
                      </w:txbxContent>
                    </v:textbox>
                  </v:shape>
                </v:group>
                <v:shape id="AutoShape 1182" o:spid="_x0000_s1059" o:spt="32" type="#_x0000_t32" style="position:absolute;left:7384;top:1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lAPb4AAADbAAAADwAAAGRycy9kb3ducmV2LnhtbERPTYvCMBC9L/gfwgje1lRlF6lGUUEQ&#10;L8u6C3ocmrENNpPSxKb+e3MQPD7e93Ld21p01HrjWMFknIEgLpw2XCr4/9t/zkH4gKyxdkwKHuRh&#10;vRp8LDHXLvIvdadQihTCPkcFVQhNLqUvKrLox64hTtzVtRZDgm0pdYsxhdtaTrPsW1o0nBoqbGhX&#10;UXE73a0CE39M1xx2cXs8X7yOZB5fzig1GvabBYhAfXiLX+6DVjB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uUA9vgAAANsAAAAPAAAAAAAAAAAAAAAAAKEC&#10;AABkcnMvZG93bnJldi54bWxQSwUGAAAAAAQABAD5AAAAjAMAAAAA&#10;">
                  <v:path arrowok="t"/>
                  <v:fill on="f" focussize="0,0"/>
                  <v:stroke endarrow="block"/>
                  <v:imagedata o:title=""/>
                  <o:lock v:ext="edit"/>
                </v:shape>
              </v:group>
            </v:group>
          </v:group>
        </w:pict>
      </w: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r>
        <w:rPr>
          <w:rFonts w:ascii="Times New Roman" w:hAnsi="Times New Roman" w:eastAsia="仿宋_GB2312" w:cs="Times New Roman"/>
          <w:sz w:val="30"/>
          <w:szCs w:val="30"/>
        </w:rPr>
        <w:t>附录二</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仿宋_GB2312" w:cs="Times New Roman"/>
          <w:sz w:val="30"/>
          <w:szCs w:val="30"/>
        </w:rPr>
        <w:t>1．问：对于担保人在境内、债务人在境外的其他形式的跨境担保，担保履约后构成对外债权的，是否应当办理对外债权登记。</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答：应当办理。</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2．问：境内银行发生内保外贷履约，如有反担保人，是否应当办理对外债权登记，由谁来申请？</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答：境内银行发生内保外贷履约，如有反担保人，应由反担保人申请办理对外债权登记。</w:t>
      </w:r>
    </w:p>
    <w:p>
      <w:pPr>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sz w:val="30"/>
          <w:szCs w:val="30"/>
        </w:rPr>
        <w:t>3．问：银行</w:t>
      </w:r>
      <w:r>
        <w:rPr>
          <w:rFonts w:ascii="Times New Roman" w:hAnsi="Times New Roman" w:eastAsia="仿宋_GB2312" w:cs="Times New Roman"/>
          <w:kern w:val="0"/>
          <w:sz w:val="30"/>
          <w:szCs w:val="30"/>
        </w:rPr>
        <w:t>银行发生内保外贷担保履约的</w:t>
      </w:r>
      <w:r>
        <w:rPr>
          <w:rFonts w:ascii="Times New Roman" w:hAnsi="Times New Roman" w:eastAsia="仿宋_GB2312" w:cs="Times New Roman"/>
          <w:sz w:val="30"/>
          <w:szCs w:val="30"/>
        </w:rPr>
        <w:t>，应注意什么问题？</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答：银行发生内保外贷担保履约的，相关结售汇纳入银行自身结售汇管理。《国家外汇管理局关于进一步推进外汇管理改革完善真实合规性审核的通知》（汇发〔2017〕3号）实施后银行新提供的内保外贷，如果发生担保项下主债务违约，银行应先使用自有资金履约，不得以反担保资金直接购汇履约；银行履约后造成本外币资金不匹配的，需经所在地外汇分局资本项目管理部门备案后办理结售汇相关手续。</w:t>
      </w:r>
    </w:p>
    <w:p>
      <w:pPr>
        <w:adjustRightInd w:val="0"/>
        <w:snapToGrid w:val="0"/>
        <w:spacing w:line="360" w:lineRule="auto"/>
        <w:ind w:firstLine="600" w:firstLineChars="200"/>
        <w:rPr>
          <w:rFonts w:ascii="Times New Roman" w:hAnsi="Times New Roman" w:eastAsia="仿宋_GB2312" w:cs="Times New Roman"/>
          <w:kern w:val="0"/>
          <w:sz w:val="30"/>
          <w:szCs w:val="30"/>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3</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F15B81"/>
    <w:multiLevelType w:val="singleLevel"/>
    <w:tmpl w:val="9EF15B81"/>
    <w:lvl w:ilvl="0" w:tentative="0">
      <w:start w:val="1"/>
      <w:numFmt w:val="chineseCounting"/>
      <w:suff w:val="nothing"/>
      <w:lvlText w:val="（%1）"/>
      <w:lvlJc w:val="left"/>
      <w:pPr>
        <w:ind w:left="0" w:firstLine="420"/>
      </w:pPr>
      <w:rPr>
        <w:rFonts w:hint="eastAsia"/>
      </w:rPr>
    </w:lvl>
  </w:abstractNum>
  <w:abstractNum w:abstractNumId="1">
    <w:nsid w:val="AB90829D"/>
    <w:multiLevelType w:val="singleLevel"/>
    <w:tmpl w:val="AB90829D"/>
    <w:lvl w:ilvl="0" w:tentative="0">
      <w:start w:val="1"/>
      <w:numFmt w:val="chineseCounting"/>
      <w:suff w:val="nothing"/>
      <w:lvlText w:val="（%1）"/>
      <w:lvlJc w:val="left"/>
      <w:pPr>
        <w:ind w:left="0" w:firstLine="420"/>
      </w:pPr>
      <w:rPr>
        <w:rFonts w:hint="eastAsia"/>
      </w:rPr>
    </w:lvl>
  </w:abstractNum>
  <w:abstractNum w:abstractNumId="2">
    <w:nsid w:val="ABFB8D8F"/>
    <w:multiLevelType w:val="singleLevel"/>
    <w:tmpl w:val="ABFB8D8F"/>
    <w:lvl w:ilvl="0" w:tentative="0">
      <w:start w:val="1"/>
      <w:numFmt w:val="chineseCounting"/>
      <w:suff w:val="nothing"/>
      <w:lvlText w:val="%1、"/>
      <w:lvlJc w:val="left"/>
      <w:pPr>
        <w:ind w:left="0" w:firstLine="420"/>
      </w:pPr>
      <w:rPr>
        <w:rFonts w:hint="eastAsia"/>
      </w:rPr>
    </w:lvl>
  </w:abstractNum>
  <w:abstractNum w:abstractNumId="3">
    <w:nsid w:val="4E2B0FE6"/>
    <w:multiLevelType w:val="singleLevel"/>
    <w:tmpl w:val="4E2B0FE6"/>
    <w:lvl w:ilvl="0" w:tentative="0">
      <w:start w:val="1"/>
      <w:numFmt w:val="chineseCounting"/>
      <w:suff w:val="nothing"/>
      <w:lvlText w:val="（%1）"/>
      <w:lvlJc w:val="left"/>
      <w:pPr>
        <w:ind w:left="0" w:firstLine="420"/>
      </w:pPr>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3783"/>
    <w:rsid w:val="0002563F"/>
    <w:rsid w:val="00041960"/>
    <w:rsid w:val="00042B58"/>
    <w:rsid w:val="00054B00"/>
    <w:rsid w:val="00055270"/>
    <w:rsid w:val="0006560A"/>
    <w:rsid w:val="00072F8A"/>
    <w:rsid w:val="000750C8"/>
    <w:rsid w:val="0007570E"/>
    <w:rsid w:val="00080630"/>
    <w:rsid w:val="00091661"/>
    <w:rsid w:val="00092D53"/>
    <w:rsid w:val="00092E02"/>
    <w:rsid w:val="00096CBB"/>
    <w:rsid w:val="00097F7B"/>
    <w:rsid w:val="000A4B83"/>
    <w:rsid w:val="000B6901"/>
    <w:rsid w:val="000B728B"/>
    <w:rsid w:val="000C15B3"/>
    <w:rsid w:val="000C2B33"/>
    <w:rsid w:val="000D1995"/>
    <w:rsid w:val="000D7478"/>
    <w:rsid w:val="0012271F"/>
    <w:rsid w:val="00130519"/>
    <w:rsid w:val="00135BEE"/>
    <w:rsid w:val="0014667A"/>
    <w:rsid w:val="00154B58"/>
    <w:rsid w:val="00157C64"/>
    <w:rsid w:val="00157E81"/>
    <w:rsid w:val="00170126"/>
    <w:rsid w:val="00177059"/>
    <w:rsid w:val="00180135"/>
    <w:rsid w:val="00181D3E"/>
    <w:rsid w:val="0018645B"/>
    <w:rsid w:val="00192486"/>
    <w:rsid w:val="00196FAE"/>
    <w:rsid w:val="001A3E49"/>
    <w:rsid w:val="001A72AA"/>
    <w:rsid w:val="001B1E2C"/>
    <w:rsid w:val="001C44C7"/>
    <w:rsid w:val="001D65A2"/>
    <w:rsid w:val="001E1407"/>
    <w:rsid w:val="001E3099"/>
    <w:rsid w:val="001F4BD4"/>
    <w:rsid w:val="001F7297"/>
    <w:rsid w:val="00205D07"/>
    <w:rsid w:val="00212F39"/>
    <w:rsid w:val="00217116"/>
    <w:rsid w:val="00231EED"/>
    <w:rsid w:val="0023368C"/>
    <w:rsid w:val="00233841"/>
    <w:rsid w:val="00235F24"/>
    <w:rsid w:val="002417D2"/>
    <w:rsid w:val="00241FE8"/>
    <w:rsid w:val="0024527E"/>
    <w:rsid w:val="00253F7B"/>
    <w:rsid w:val="00263B1F"/>
    <w:rsid w:val="002915D6"/>
    <w:rsid w:val="00291C17"/>
    <w:rsid w:val="0029313A"/>
    <w:rsid w:val="002B0B1C"/>
    <w:rsid w:val="002B598D"/>
    <w:rsid w:val="002B61C1"/>
    <w:rsid w:val="002C0B13"/>
    <w:rsid w:val="002C0FF3"/>
    <w:rsid w:val="002E1323"/>
    <w:rsid w:val="002F1C6E"/>
    <w:rsid w:val="002F3868"/>
    <w:rsid w:val="00302119"/>
    <w:rsid w:val="00302E87"/>
    <w:rsid w:val="00310261"/>
    <w:rsid w:val="00312CA6"/>
    <w:rsid w:val="00343044"/>
    <w:rsid w:val="00344B01"/>
    <w:rsid w:val="00353AC4"/>
    <w:rsid w:val="003570D7"/>
    <w:rsid w:val="003616B4"/>
    <w:rsid w:val="00383001"/>
    <w:rsid w:val="00387F6E"/>
    <w:rsid w:val="00395E56"/>
    <w:rsid w:val="003A57B2"/>
    <w:rsid w:val="003B05BF"/>
    <w:rsid w:val="003C7132"/>
    <w:rsid w:val="003D77A5"/>
    <w:rsid w:val="003E6BF6"/>
    <w:rsid w:val="003F221D"/>
    <w:rsid w:val="003F3097"/>
    <w:rsid w:val="003F6213"/>
    <w:rsid w:val="00402AE8"/>
    <w:rsid w:val="00405FE6"/>
    <w:rsid w:val="004105BC"/>
    <w:rsid w:val="00421C27"/>
    <w:rsid w:val="00440A1F"/>
    <w:rsid w:val="00443603"/>
    <w:rsid w:val="00443604"/>
    <w:rsid w:val="004472DB"/>
    <w:rsid w:val="004501EA"/>
    <w:rsid w:val="004504C7"/>
    <w:rsid w:val="00460458"/>
    <w:rsid w:val="0046792D"/>
    <w:rsid w:val="004767DF"/>
    <w:rsid w:val="00487F57"/>
    <w:rsid w:val="0049008B"/>
    <w:rsid w:val="00493CCC"/>
    <w:rsid w:val="004A01C7"/>
    <w:rsid w:val="004A0218"/>
    <w:rsid w:val="004A7840"/>
    <w:rsid w:val="004B545A"/>
    <w:rsid w:val="004B7E80"/>
    <w:rsid w:val="004C457E"/>
    <w:rsid w:val="004C48D5"/>
    <w:rsid w:val="004D03B7"/>
    <w:rsid w:val="004D1436"/>
    <w:rsid w:val="004D1CAF"/>
    <w:rsid w:val="004D57AE"/>
    <w:rsid w:val="005056D4"/>
    <w:rsid w:val="00507B04"/>
    <w:rsid w:val="00526B2B"/>
    <w:rsid w:val="00526BF1"/>
    <w:rsid w:val="005362B0"/>
    <w:rsid w:val="00542447"/>
    <w:rsid w:val="00564312"/>
    <w:rsid w:val="005A2981"/>
    <w:rsid w:val="005C6937"/>
    <w:rsid w:val="005C7F02"/>
    <w:rsid w:val="005F0A86"/>
    <w:rsid w:val="005F144A"/>
    <w:rsid w:val="005F1C00"/>
    <w:rsid w:val="00605BF9"/>
    <w:rsid w:val="00607F26"/>
    <w:rsid w:val="0061621E"/>
    <w:rsid w:val="00630AA8"/>
    <w:rsid w:val="00630B2E"/>
    <w:rsid w:val="00640F76"/>
    <w:rsid w:val="00643D2A"/>
    <w:rsid w:val="00651530"/>
    <w:rsid w:val="00664E11"/>
    <w:rsid w:val="00673B30"/>
    <w:rsid w:val="00674A78"/>
    <w:rsid w:val="00693524"/>
    <w:rsid w:val="00696E5D"/>
    <w:rsid w:val="00697F1B"/>
    <w:rsid w:val="006A252F"/>
    <w:rsid w:val="006B5B86"/>
    <w:rsid w:val="006C5908"/>
    <w:rsid w:val="006C633E"/>
    <w:rsid w:val="006D734F"/>
    <w:rsid w:val="006E043F"/>
    <w:rsid w:val="006E4695"/>
    <w:rsid w:val="006E4B8B"/>
    <w:rsid w:val="006E5901"/>
    <w:rsid w:val="0071091C"/>
    <w:rsid w:val="00714961"/>
    <w:rsid w:val="00743987"/>
    <w:rsid w:val="00744BD5"/>
    <w:rsid w:val="00745748"/>
    <w:rsid w:val="00750369"/>
    <w:rsid w:val="00750E36"/>
    <w:rsid w:val="00753CB0"/>
    <w:rsid w:val="00755460"/>
    <w:rsid w:val="007612D9"/>
    <w:rsid w:val="00761FB7"/>
    <w:rsid w:val="00762107"/>
    <w:rsid w:val="00764CB9"/>
    <w:rsid w:val="00765B05"/>
    <w:rsid w:val="0078225F"/>
    <w:rsid w:val="00785F45"/>
    <w:rsid w:val="00793EE7"/>
    <w:rsid w:val="007A2780"/>
    <w:rsid w:val="007A68EA"/>
    <w:rsid w:val="007B06FC"/>
    <w:rsid w:val="007B0FEF"/>
    <w:rsid w:val="007B2DB5"/>
    <w:rsid w:val="007C4AD9"/>
    <w:rsid w:val="007D2C11"/>
    <w:rsid w:val="007D6171"/>
    <w:rsid w:val="007D69EA"/>
    <w:rsid w:val="007E2C7B"/>
    <w:rsid w:val="007E411B"/>
    <w:rsid w:val="007F0863"/>
    <w:rsid w:val="007F2F3B"/>
    <w:rsid w:val="007F354C"/>
    <w:rsid w:val="00802307"/>
    <w:rsid w:val="0082168E"/>
    <w:rsid w:val="00821968"/>
    <w:rsid w:val="008471B6"/>
    <w:rsid w:val="00851521"/>
    <w:rsid w:val="0085686A"/>
    <w:rsid w:val="0086077B"/>
    <w:rsid w:val="0086084D"/>
    <w:rsid w:val="00860878"/>
    <w:rsid w:val="008731FF"/>
    <w:rsid w:val="0088294A"/>
    <w:rsid w:val="0089282A"/>
    <w:rsid w:val="008A4538"/>
    <w:rsid w:val="008A704B"/>
    <w:rsid w:val="008B08D2"/>
    <w:rsid w:val="008B4EE5"/>
    <w:rsid w:val="008B5807"/>
    <w:rsid w:val="008D5FA0"/>
    <w:rsid w:val="008E2D38"/>
    <w:rsid w:val="008F5724"/>
    <w:rsid w:val="008F7910"/>
    <w:rsid w:val="00902633"/>
    <w:rsid w:val="009027D8"/>
    <w:rsid w:val="0090372F"/>
    <w:rsid w:val="009110E8"/>
    <w:rsid w:val="00911E27"/>
    <w:rsid w:val="0092129A"/>
    <w:rsid w:val="00925BB2"/>
    <w:rsid w:val="00930C8C"/>
    <w:rsid w:val="009360EA"/>
    <w:rsid w:val="00947C57"/>
    <w:rsid w:val="00951149"/>
    <w:rsid w:val="00960EDB"/>
    <w:rsid w:val="009622DB"/>
    <w:rsid w:val="009664BC"/>
    <w:rsid w:val="00967291"/>
    <w:rsid w:val="00980F02"/>
    <w:rsid w:val="00991B77"/>
    <w:rsid w:val="00997523"/>
    <w:rsid w:val="009A0C5D"/>
    <w:rsid w:val="009C4672"/>
    <w:rsid w:val="009C491B"/>
    <w:rsid w:val="009D0911"/>
    <w:rsid w:val="009D24F8"/>
    <w:rsid w:val="009D688C"/>
    <w:rsid w:val="009F7A36"/>
    <w:rsid w:val="00A249C2"/>
    <w:rsid w:val="00A24FAB"/>
    <w:rsid w:val="00A301E7"/>
    <w:rsid w:val="00A42E69"/>
    <w:rsid w:val="00A45CA7"/>
    <w:rsid w:val="00A51415"/>
    <w:rsid w:val="00A6014E"/>
    <w:rsid w:val="00A60356"/>
    <w:rsid w:val="00A81DF1"/>
    <w:rsid w:val="00A90EF3"/>
    <w:rsid w:val="00AA7717"/>
    <w:rsid w:val="00AB131E"/>
    <w:rsid w:val="00AB644F"/>
    <w:rsid w:val="00AC3F5E"/>
    <w:rsid w:val="00AE0729"/>
    <w:rsid w:val="00AE7ACF"/>
    <w:rsid w:val="00AF5675"/>
    <w:rsid w:val="00AF5DE3"/>
    <w:rsid w:val="00B06409"/>
    <w:rsid w:val="00B17D66"/>
    <w:rsid w:val="00B35D3A"/>
    <w:rsid w:val="00B422F1"/>
    <w:rsid w:val="00B4612F"/>
    <w:rsid w:val="00B57468"/>
    <w:rsid w:val="00B71531"/>
    <w:rsid w:val="00B7456C"/>
    <w:rsid w:val="00B84131"/>
    <w:rsid w:val="00B8630E"/>
    <w:rsid w:val="00B931F4"/>
    <w:rsid w:val="00B94020"/>
    <w:rsid w:val="00B95573"/>
    <w:rsid w:val="00B96395"/>
    <w:rsid w:val="00BA2AF8"/>
    <w:rsid w:val="00BB2650"/>
    <w:rsid w:val="00BB5BDC"/>
    <w:rsid w:val="00BB7B76"/>
    <w:rsid w:val="00BD233D"/>
    <w:rsid w:val="00BF4EF0"/>
    <w:rsid w:val="00C02E44"/>
    <w:rsid w:val="00C062E2"/>
    <w:rsid w:val="00C147D2"/>
    <w:rsid w:val="00C2075F"/>
    <w:rsid w:val="00C23799"/>
    <w:rsid w:val="00C274C9"/>
    <w:rsid w:val="00C31E02"/>
    <w:rsid w:val="00C51F1A"/>
    <w:rsid w:val="00C54291"/>
    <w:rsid w:val="00C672C3"/>
    <w:rsid w:val="00C712B2"/>
    <w:rsid w:val="00C97FED"/>
    <w:rsid w:val="00CA1DBB"/>
    <w:rsid w:val="00CA2622"/>
    <w:rsid w:val="00CA7F2C"/>
    <w:rsid w:val="00CA7FF8"/>
    <w:rsid w:val="00CB5DE7"/>
    <w:rsid w:val="00CC068D"/>
    <w:rsid w:val="00CC4922"/>
    <w:rsid w:val="00CD1FF6"/>
    <w:rsid w:val="00CD4015"/>
    <w:rsid w:val="00CE25C7"/>
    <w:rsid w:val="00CE3335"/>
    <w:rsid w:val="00CE4849"/>
    <w:rsid w:val="00CE5C8E"/>
    <w:rsid w:val="00CE5F49"/>
    <w:rsid w:val="00CF07CA"/>
    <w:rsid w:val="00D01626"/>
    <w:rsid w:val="00D1633D"/>
    <w:rsid w:val="00D3357D"/>
    <w:rsid w:val="00D33A4D"/>
    <w:rsid w:val="00D33F76"/>
    <w:rsid w:val="00D41F5E"/>
    <w:rsid w:val="00D43DC0"/>
    <w:rsid w:val="00D54E56"/>
    <w:rsid w:val="00D56F1C"/>
    <w:rsid w:val="00D6407D"/>
    <w:rsid w:val="00D93E78"/>
    <w:rsid w:val="00DA2752"/>
    <w:rsid w:val="00DA292C"/>
    <w:rsid w:val="00DC30C4"/>
    <w:rsid w:val="00DC6E91"/>
    <w:rsid w:val="00DC7514"/>
    <w:rsid w:val="00DD3845"/>
    <w:rsid w:val="00DE2AE2"/>
    <w:rsid w:val="00E06E9C"/>
    <w:rsid w:val="00E1687A"/>
    <w:rsid w:val="00E20A2E"/>
    <w:rsid w:val="00E277DE"/>
    <w:rsid w:val="00E27EE9"/>
    <w:rsid w:val="00E3239D"/>
    <w:rsid w:val="00E32C95"/>
    <w:rsid w:val="00E3439B"/>
    <w:rsid w:val="00E42C5F"/>
    <w:rsid w:val="00E65A1B"/>
    <w:rsid w:val="00E72F1F"/>
    <w:rsid w:val="00E934AB"/>
    <w:rsid w:val="00EA06AC"/>
    <w:rsid w:val="00EA08BF"/>
    <w:rsid w:val="00EA24FB"/>
    <w:rsid w:val="00EB3204"/>
    <w:rsid w:val="00EB50BA"/>
    <w:rsid w:val="00EC3D33"/>
    <w:rsid w:val="00ED302A"/>
    <w:rsid w:val="00ED3A42"/>
    <w:rsid w:val="00EE02BC"/>
    <w:rsid w:val="00EE6970"/>
    <w:rsid w:val="00EE7084"/>
    <w:rsid w:val="00EF2A1D"/>
    <w:rsid w:val="00EF38D0"/>
    <w:rsid w:val="00EF3DDF"/>
    <w:rsid w:val="00EF4A8C"/>
    <w:rsid w:val="00F013C9"/>
    <w:rsid w:val="00F2678C"/>
    <w:rsid w:val="00F27B38"/>
    <w:rsid w:val="00F40278"/>
    <w:rsid w:val="00F41832"/>
    <w:rsid w:val="00F448A3"/>
    <w:rsid w:val="00F56988"/>
    <w:rsid w:val="00F620FB"/>
    <w:rsid w:val="00F624BD"/>
    <w:rsid w:val="00F6571F"/>
    <w:rsid w:val="00F8687E"/>
    <w:rsid w:val="00F93331"/>
    <w:rsid w:val="00F9354B"/>
    <w:rsid w:val="00F95549"/>
    <w:rsid w:val="00FA1E24"/>
    <w:rsid w:val="00FA24FB"/>
    <w:rsid w:val="00FA632B"/>
    <w:rsid w:val="00FB38EA"/>
    <w:rsid w:val="00FB5E0F"/>
    <w:rsid w:val="00FB6AFF"/>
    <w:rsid w:val="00FC4D8F"/>
    <w:rsid w:val="00FD06D3"/>
    <w:rsid w:val="00FE3157"/>
    <w:rsid w:val="00FE6865"/>
    <w:rsid w:val="00FE6993"/>
    <w:rsid w:val="0B3832B9"/>
    <w:rsid w:val="0BC659B6"/>
    <w:rsid w:val="20A20A26"/>
    <w:rsid w:val="2F9311A4"/>
    <w:rsid w:val="3A9120A8"/>
    <w:rsid w:val="60413E28"/>
    <w:rsid w:val="72AE1FB2"/>
    <w:rsid w:val="739C4E8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1153"/>
        <o:r id="V:Rule2" type="connector" idref="#AutoShape 1154"/>
        <o:r id="V:Rule3" type="connector" idref="#AutoShape 1155"/>
        <o:r id="V:Rule4" type="connector" idref="#AutoShape 1156"/>
        <o:r id="V:Rule5" type="connector" idref="#AutoShape 1157"/>
        <o:r id="V:Rule6" type="connector" idref="#AutoShape 1159"/>
        <o:r id="V:Rule7" type="connector" idref="#AutoShape 1161"/>
        <o:r id="V:Rule8" type="connector" idref="#AutoShape 1163"/>
        <o:r id="V:Rule9" type="connector" idref="#AutoShape 1170"/>
        <o:r id="V:Rule10" type="connector" idref="#AutoShape 1171"/>
        <o:r id="V:Rule11" type="connector" idref="#AutoShape 1173"/>
        <o:r id="V:Rule12" type="connector" idref="#AutoShape 1174"/>
        <o:r id="V:Rule13" type="connector" idref="#AutoShape 1177"/>
        <o:r id="V:Rule14" type="connector" idref="#AutoShape 1178"/>
        <o:r id="V:Rule15" type="connector" idref="#AutoShape 1179"/>
        <o:r id="V:Rule16" type="connector" idref="#AutoShape 1182"/>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99"/>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5DE3A6-F36D-40CF-8B28-609082E034F4}">
  <ds:schemaRefs/>
</ds:datastoreItem>
</file>

<file path=docProps/app.xml><?xml version="1.0" encoding="utf-8"?>
<Properties xmlns="http://schemas.openxmlformats.org/officeDocument/2006/extended-properties" xmlns:vt="http://schemas.openxmlformats.org/officeDocument/2006/docPropsVTypes">
  <Template>Normal</Template>
  <Pages>8</Pages>
  <Words>348</Words>
  <Characters>1985</Characters>
  <Lines>16</Lines>
  <Paragraphs>4</Paragraphs>
  <TotalTime>0</TotalTime>
  <ScaleCrop>false</ScaleCrop>
  <LinksUpToDate>false</LinksUpToDate>
  <CharactersWithSpaces>2329</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2020-03-17T08:13:00Z</dcterms:created>
  <dc:creator>裴建君2</dc:creator>
  <cp:lastModifiedBy>王芊</cp:lastModifiedBy>
  <cp:lastPrinted>2017-11-24T00:22:00Z</cp:lastPrinted>
  <dcterms:modified xsi:type="dcterms:W3CDTF">2022-05-24T01:57:54Z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