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6</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1 </w:t>
      </w:r>
      <w:bookmarkStart w:id="5" w:name="_GoBack"/>
      <w:bookmarkEnd w:id="5"/>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非银行债务人外债登记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非银行债务人外债登记办事指南</w:t>
      </w:r>
    </w:p>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584"/>
        <w:textAlignment w:val="auto"/>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《中华人民共和国外汇管理条例》（国务院令第532号）。</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《外债统计监测暂行规定》（1987年公布）。</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《国家外汇管理局关于发布〈外债登记管理办法〉的通知》（汇发〔2013〕19号）。</w:t>
      </w:r>
    </w:p>
    <w:p>
      <w:pPr>
        <w:adjustRightInd w:val="0"/>
        <w:snapToGrid w:val="0"/>
        <w:spacing w:line="360" w:lineRule="auto"/>
        <w:ind w:firstLine="585"/>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《中国人民银行关于全口径跨境融资宏观审慎管理有关事宜的通知》（银发〔2017〕9号）。</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《国家外汇管理局关于印发〈跨国公司跨境资金集中运营管理规定〉的通知》（汇发〔2019〕7号）。</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（六）</w:t>
      </w:r>
      <w:r>
        <w:rPr>
          <w:rFonts w:ascii="Times New Roman" w:hAnsi="Times New Roman" w:eastAsia="仿宋_GB2312" w:cs="Times New Roman"/>
          <w:sz w:val="30"/>
          <w:szCs w:val="30"/>
        </w:rPr>
        <w:t>《国家外汇管理局关于进一步促进跨境贸易投资便利化的通知》（汇发〔2019〕28号）。</w:t>
      </w:r>
    </w:p>
    <w:p>
      <w:pPr>
        <w:adjustRightInd w:val="0"/>
        <w:snapToGrid w:val="0"/>
        <w:spacing w:line="360" w:lineRule="auto"/>
        <w:ind w:firstLine="600" w:firstLineChars="20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（七）《中国人民银行  国家外汇管理局关于调整全口径跨境融资宏观审慎调节参数的通知》（银发〔202</w:t>
      </w:r>
      <w:r>
        <w:rPr>
          <w:rFonts w:hint="eastAsia" w:ascii="Times New Roman" w:hAnsi="Times New Roman" w:eastAsia="仿宋_GB2312" w:cs="Times New Roman"/>
          <w:sz w:val="30"/>
          <w:szCs w:val="30"/>
          <w:lang w:val="en-US" w:eastAsia="zh-CN"/>
        </w:rPr>
        <w:t>0</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sz w:val="30"/>
          <w:szCs w:val="30"/>
          <w:lang w:val="en-US" w:eastAsia="zh-CN"/>
        </w:rPr>
        <w:t>64</w:t>
      </w:r>
      <w:r>
        <w:rPr>
          <w:rFonts w:hint="eastAsia" w:ascii="Times New Roman" w:hAnsi="Times New Roman" w:eastAsia="仿宋_GB2312" w:cs="Times New Roman"/>
          <w:sz w:val="30"/>
          <w:szCs w:val="30"/>
          <w:lang w:eastAsia="zh-CN"/>
        </w:rPr>
        <w:t>号）</w:t>
      </w:r>
    </w:p>
    <w:p>
      <w:pPr>
        <w:adjustRightInd w:val="0"/>
        <w:snapToGrid w:val="0"/>
        <w:spacing w:line="360" w:lineRule="auto"/>
        <w:ind w:firstLine="600" w:firstLineChars="20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（八）《中国人民银行  国家外汇管理局关于调整企业全口径跨境融资宏观审慎调节参数的通知》（银发〔202</w:t>
      </w:r>
      <w:r>
        <w:rPr>
          <w:rFonts w:hint="eastAsia" w:ascii="Times New Roman" w:hAnsi="Times New Roman" w:eastAsia="仿宋_GB2312" w:cs="Times New Roman"/>
          <w:sz w:val="30"/>
          <w:szCs w:val="30"/>
          <w:lang w:val="en-US" w:eastAsia="zh-CN"/>
        </w:rPr>
        <w:t>1</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sz w:val="30"/>
          <w:szCs w:val="30"/>
          <w:lang w:val="en-US" w:eastAsia="zh-CN"/>
        </w:rPr>
        <w:t>5</w:t>
      </w:r>
      <w:r>
        <w:rPr>
          <w:rFonts w:hint="eastAsia" w:ascii="Times New Roman" w:hAnsi="Times New Roman" w:eastAsia="仿宋_GB2312" w:cs="Times New Roman"/>
          <w:sz w:val="30"/>
          <w:szCs w:val="30"/>
          <w:lang w:eastAsia="zh-CN"/>
        </w:rPr>
        <w:t>号）</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w:t>
      </w:r>
      <w:r>
        <w:rPr>
          <w:rFonts w:ascii="Times New Roman" w:hAnsi="Times New Roman" w:eastAsia="黑体" w:cs="Times New Roman"/>
          <w:sz w:val="30"/>
          <w:szCs w:val="30"/>
        </w:rPr>
        <w:t>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 xml:space="preserve">    三</w:t>
      </w:r>
      <w:r>
        <w:rPr>
          <w:rFonts w:hint="eastAsia" w:ascii="Times New Roman" w:hAnsi="Times New Roman" w:eastAsia="黑体" w:cs="Times New Roman"/>
          <w:sz w:val="30"/>
          <w:szCs w:val="30"/>
          <w:lang w:eastAsia="zh-CN"/>
        </w:rPr>
        <w:t>、服务对象</w:t>
      </w:r>
    </w:p>
    <w:p>
      <w:pPr>
        <w:adjustRightInd w:val="0"/>
        <w:snapToGrid w:val="0"/>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hint="eastAsia" w:ascii="Times New Roman" w:hAnsi="Times New Roman" w:eastAsia="仿宋_GB2312" w:cs="Times New Roman"/>
          <w:sz w:val="30"/>
          <w:szCs w:val="30"/>
        </w:rPr>
        <w:t>按照规定可以举借外债的财政部门、银行以外的其他境内债务人（以下简称“非银行债务人”）；</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（二）</w:t>
      </w:r>
      <w:r>
        <w:rPr>
          <w:rFonts w:hint="eastAsia" w:ascii="Times New Roman" w:hAnsi="Times New Roman" w:eastAsia="仿宋_GB2312" w:cs="Times New Roman"/>
          <w:sz w:val="30"/>
          <w:szCs w:val="30"/>
        </w:rPr>
        <w:t>非银行债务人注册地在长沙（不含浏阳）</w:t>
      </w:r>
      <w:r>
        <w:rPr>
          <w:rFonts w:ascii="Times New Roman" w:hAnsi="Times New Roman" w:eastAsia="仿宋_GB2312" w:cs="Times New Roman"/>
          <w:sz w:val="30"/>
          <w:szCs w:val="30"/>
        </w:rPr>
        <w:t>。</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仿宋_GB2312" w:eastAsia="仿宋_GB2312" w:cs="Times New Roman"/>
          <w:sz w:val="30"/>
          <w:szCs w:val="30"/>
        </w:rPr>
        <w:t>无数量限制，按全口径跨境融资宏观审慎或</w:t>
      </w:r>
      <w:r>
        <w:rPr>
          <w:rFonts w:ascii="Times New Roman" w:hAnsi="Times New Roman" w:eastAsia="仿宋_GB2312" w:cs="Times New Roman"/>
          <w:sz w:val="30"/>
          <w:szCs w:val="30"/>
        </w:rPr>
        <w:t>“</w:t>
      </w:r>
      <w:r>
        <w:rPr>
          <w:rFonts w:ascii="Times New Roman" w:hAnsi="仿宋_GB2312" w:eastAsia="仿宋_GB2312" w:cs="Times New Roman"/>
          <w:sz w:val="30"/>
          <w:szCs w:val="30"/>
        </w:rPr>
        <w:t>投注差</w:t>
      </w:r>
      <w:r>
        <w:rPr>
          <w:rFonts w:ascii="Times New Roman" w:hAnsi="Times New Roman" w:eastAsia="仿宋_GB2312" w:cs="Times New Roman"/>
          <w:sz w:val="30"/>
          <w:szCs w:val="30"/>
        </w:rPr>
        <w:t>”</w:t>
      </w:r>
      <w:r>
        <w:rPr>
          <w:rFonts w:ascii="Times New Roman" w:hAnsi="仿宋_GB2312" w:eastAsia="仿宋_GB2312" w:cs="Times New Roman"/>
          <w:sz w:val="30"/>
          <w:szCs w:val="30"/>
        </w:rPr>
        <w:t>模式管理。</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adjustRightInd w:val="0"/>
        <w:snapToGrid w:val="0"/>
        <w:spacing w:line="360" w:lineRule="auto"/>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申请人条件</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1</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新办登记。申请人为按照规定可以举借外债的财政部门、银行以外的其他境内债务人（以下简称“非银行债务人”）。应当在不晚于外债提款前3个工作日内，到国家外汇管理局</w:t>
      </w:r>
      <w:r>
        <w:rPr>
          <w:rFonts w:hint="eastAsia" w:ascii="Times New Roman" w:hAnsi="Times New Roman" w:eastAsia="仿宋_GB2312" w:cs="Times New Roman"/>
          <w:sz w:val="30"/>
          <w:szCs w:val="30"/>
          <w:lang w:eastAsia="zh-CN"/>
        </w:rPr>
        <w:t>湖南省分局</w:t>
      </w:r>
      <w:r>
        <w:rPr>
          <w:rFonts w:ascii="Times New Roman" w:hAnsi="Times New Roman" w:eastAsia="仿宋_GB2312" w:cs="Times New Roman"/>
          <w:sz w:val="30"/>
          <w:szCs w:val="30"/>
        </w:rPr>
        <w:t>办理外债签约登记手续。非银行债务人融资租赁、售后融资性回租和发行境外债券等，也应办理外债签约登记手续。</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2</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变更登记。已办理签约登记的外债合同主要条款发生变化，如期限（展期等）、金额、债权人</w:t>
      </w:r>
      <w:r>
        <w:rPr>
          <w:rFonts w:hint="eastAsia" w:ascii="Times New Roman" w:hAnsi="Times New Roman" w:eastAsia="仿宋_GB2312" w:cs="Times New Roman"/>
          <w:sz w:val="30"/>
          <w:szCs w:val="30"/>
          <w:lang w:eastAsia="zh-CN"/>
        </w:rPr>
        <w:t>、币种、利率、借款用途</w:t>
      </w:r>
      <w:r>
        <w:rPr>
          <w:rFonts w:ascii="Times New Roman" w:hAnsi="Times New Roman" w:eastAsia="仿宋_GB2312" w:cs="Times New Roman"/>
          <w:sz w:val="30"/>
          <w:szCs w:val="30"/>
        </w:rPr>
        <w:t>等，非银行债务人应办理外债签约变更登记。</w:t>
      </w:r>
    </w:p>
    <w:p>
      <w:pPr>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3</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跨国公司跨境资金集中运营-集中外债额度业务备案。具备真实业务需求；具有完善的跨境资金管理架构、内控制度；建立相应的内部管理电子系统；上年度本外币国际收支规模超过1亿美元（参加跨境资金集中运营业务的境内成员企业合并计算）；近三年无重大外汇违法违规行为（成立不满三年的企业，自成立之日起无重大外汇违规行为）；主办企业和境内成员企业如为贸易外汇收支名录内企业，货物贸易分类结果应为A类；</w:t>
      </w:r>
      <w:r>
        <w:rPr>
          <w:rFonts w:ascii="Times New Roman" w:hAnsi="Times New Roman" w:eastAsia="仿宋_GB2312" w:cs="Times New Roman"/>
          <w:spacing w:val="-6"/>
          <w:sz w:val="30"/>
          <w:szCs w:val="30"/>
        </w:rPr>
        <w:t>国家外汇管理局规定的其他审慎监管条件</w:t>
      </w:r>
      <w:r>
        <w:rPr>
          <w:rFonts w:ascii="Times New Roman" w:hAnsi="Times New Roman" w:eastAsia="仿宋_GB2312" w:cs="Times New Roman"/>
          <w:sz w:val="30"/>
          <w:szCs w:val="30"/>
        </w:rPr>
        <w:t>。</w:t>
      </w:r>
    </w:p>
    <w:p>
      <w:pPr>
        <w:adjustRightInd w:val="0"/>
        <w:snapToGrid w:val="0"/>
        <w:spacing w:line="360" w:lineRule="auto"/>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以下情形，不予办理外债签约登记：</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1</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2007年6月1日以后（含）取得商务主管部门批准证书且通过商务部备案的外商投资房地产企业；</w:t>
      </w:r>
    </w:p>
    <w:p>
      <w:pPr>
        <w:numPr>
          <w:ilvl w:val="0"/>
          <w:numId w:val="1"/>
        </w:num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外商投资房地产企业未取得《国有土地使用证》的，或开发项目资本金未达到项目投资总额35％的。</w:t>
      </w:r>
    </w:p>
    <w:p>
      <w:pPr>
        <w:numPr>
          <w:ilvl w:val="0"/>
          <w:numId w:val="1"/>
        </w:num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属于地方政府融资平台性质的公司与房地产企业，不适用于宏观审慎管理模式。</w:t>
      </w:r>
    </w:p>
    <w:p>
      <w:pPr>
        <w:numPr>
          <w:ilvl w:val="0"/>
          <w:numId w:val="1"/>
        </w:num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境内机构在境外发行债券的，无论期限长短，均应在境外债券交割后15</w:t>
      </w:r>
      <w:r>
        <w:rPr>
          <w:rFonts w:hint="eastAsia" w:ascii="Times New Roman" w:hAnsi="Times New Roman" w:eastAsia="仿宋_GB2312" w:cs="Times New Roman"/>
          <w:sz w:val="30"/>
          <w:szCs w:val="30"/>
        </w:rPr>
        <w:t>个工作日</w:t>
      </w:r>
      <w:r>
        <w:rPr>
          <w:rFonts w:ascii="Times New Roman" w:hAnsi="Times New Roman" w:eastAsia="仿宋_GB2312" w:cs="Times New Roman"/>
          <w:sz w:val="30"/>
          <w:szCs w:val="30"/>
        </w:rPr>
        <w:t>内，按规定到所在地外汇局办理外债签约登记手续。境内机构对外发行短期债券的，应纳入全口径跨境融资宏观审慎政策框架进行管理。采用“投注差”外债管理模式的境内外商投资企业（包括2007年6月1日前成立的外资房地产企业）在境外发行短期债券，所发行的短期债券应占用该企业按“投注差”方式计算的外债额度。</w:t>
      </w:r>
    </w:p>
    <w:p>
      <w:pPr>
        <w:numPr>
          <w:ilvl w:val="0"/>
          <w:numId w:val="1"/>
        </w:num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非银行债务人已登记外债符合以下条件的，在办妥最后一笔还本付息业务、关闭相关外债账户后，可向</w:t>
      </w:r>
      <w:r>
        <w:rPr>
          <w:rFonts w:hint="eastAsia" w:ascii="Times New Roman" w:hAnsi="Times New Roman" w:eastAsia="仿宋_GB2312" w:cs="Times New Roman"/>
          <w:sz w:val="30"/>
          <w:szCs w:val="30"/>
          <w:lang w:eastAsia="zh-CN"/>
        </w:rPr>
        <w:t>湖南省内</w:t>
      </w:r>
      <w:r>
        <w:rPr>
          <w:rFonts w:ascii="Times New Roman" w:hAnsi="Times New Roman" w:eastAsia="仿宋_GB2312" w:cs="Times New Roman"/>
          <w:sz w:val="30"/>
          <w:szCs w:val="30"/>
        </w:rPr>
        <w:t>银行申请办理外债注销登记：</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（1）已登记外债未偿余额为零且不再发生提款；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（2）已登记外债完成所有还本付息业务且不再发生提款，但由于扣划手续费等合理原因导致未偿余额不为零，银行能够核实并确定未偿余额不为零的原因合理。 </w:t>
      </w:r>
    </w:p>
    <w:p>
      <w:pPr>
        <w:adjustRightInd w:val="0"/>
        <w:snapToGrid w:val="0"/>
        <w:spacing w:line="360" w:lineRule="auto"/>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6、</w:t>
      </w:r>
      <w:r>
        <w:rPr>
          <w:rFonts w:ascii="Times New Roman" w:hAnsi="Times New Roman" w:eastAsia="仿宋_GB2312" w:cs="Times New Roman"/>
          <w:sz w:val="30"/>
          <w:szCs w:val="30"/>
        </w:rPr>
        <w:t>不符合在银行办理外债注销登记条件（如债务减免、债转股等）的，非银行债务人应向</w:t>
      </w: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申请办理外债注销登记。</w:t>
      </w:r>
    </w:p>
    <w:p>
      <w:pPr>
        <w:adjustRightInd w:val="0"/>
        <w:snapToGrid w:val="0"/>
        <w:spacing w:line="360" w:lineRule="auto"/>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7、</w:t>
      </w:r>
      <w:r>
        <w:rPr>
          <w:rFonts w:ascii="Times New Roman" w:hAnsi="Times New Roman" w:eastAsia="仿宋_GB2312" w:cs="Times New Roman"/>
          <w:sz w:val="30"/>
          <w:szCs w:val="30"/>
        </w:rPr>
        <w:t>禁止性要求：如符合上述条件，不存在不予许可的情况。</w:t>
      </w:r>
    </w:p>
    <w:p>
      <w:pPr>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非银行债务人外债登记-外债签约（变更）登记申请材料</w:t>
      </w:r>
    </w:p>
    <w:tbl>
      <w:tblPr>
        <w:tblStyle w:val="13"/>
        <w:tblW w:w="7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253"/>
        <w:gridCol w:w="992"/>
        <w:gridCol w:w="567"/>
        <w:gridCol w:w="851"/>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25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75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r>
              <w:rPr>
                <w:rFonts w:hint="eastAsia" w:ascii="Times New Roman" w:hAnsi="Times New Roman" w:eastAsia="仿宋_GB2312" w:cs="Times New Roman"/>
                <w:sz w:val="24"/>
                <w:szCs w:val="24"/>
              </w:rPr>
              <w:t>（选择宏观审慎模式的机构，附《宏观审慎跨境融资风险加权余额情况表（企业版）》）</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加盖公章的</w:t>
            </w:r>
            <w:r>
              <w:rPr>
                <w:rFonts w:ascii="Times New Roman" w:hAnsi="Times New Roman" w:eastAsia="仿宋_GB2312" w:cs="Times New Roman"/>
                <w:sz w:val="24"/>
                <w:szCs w:val="24"/>
              </w:rPr>
              <w:t>原件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加盖公章的外债合同主要条款复印件</w:t>
            </w:r>
            <w:r>
              <w:rPr>
                <w:rFonts w:hint="eastAsia" w:ascii="Times New Roman" w:hAnsi="Times New Roman" w:eastAsia="仿宋_GB2312" w:cs="Times New Roman"/>
                <w:sz w:val="24"/>
                <w:szCs w:val="24"/>
              </w:rPr>
              <w:t>（境外发行债券的，应提供全球债券证书等证明材料）</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4253"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选择宏观审慎模式的机构，提交</w:t>
            </w:r>
            <w:r>
              <w:rPr>
                <w:rFonts w:hint="eastAsia" w:ascii="Times New Roman" w:hAnsi="Times New Roman" w:eastAsia="仿宋_GB2312" w:cs="Times New Roman"/>
                <w:color w:val="000000"/>
                <w:sz w:val="24"/>
                <w:szCs w:val="24"/>
              </w:rPr>
              <w:t>上年度或最近一期经审计的财务报告，以及其他相关批准文件（发展改革部门备案文件，如有）</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w:t>
            </w:r>
          </w:p>
        </w:tc>
        <w:tc>
          <w:tcPr>
            <w:tcW w:w="4253"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选择</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投注差</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模式的外商投资企业，应提供外商投资企业批准证书或商务部业务系统统一平台打印的外商投资企业基本信息页面</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w:t>
            </w:r>
          </w:p>
        </w:tc>
        <w:tc>
          <w:tcPr>
            <w:tcW w:w="4253"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color w:val="000000"/>
                <w:sz w:val="24"/>
                <w:szCs w:val="24"/>
              </w:rPr>
              <w:t>因外债合同主要条款发生变化，需办理外债变更登记的，还需提供原《境内机构外债签约情况表》</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跨国公司跨境资金集中运营-集中外债额度业务备案</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5567"/>
        <w:gridCol w:w="992"/>
        <w:gridCol w:w="387"/>
        <w:gridCol w:w="587"/>
        <w:gridCol w:w="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5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38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58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49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备案申请书（包括跨国公司及主办企业基本情况、拟开展的业务种类、成员企业名单、主办企业及成员企业股权结构情况、拟选择的合作银行情况等）</w:t>
            </w:r>
          </w:p>
        </w:tc>
        <w:tc>
          <w:tcPr>
            <w:tcW w:w="99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3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94" w:type="dxa"/>
          </w:tcPr>
          <w:p>
            <w:pPr>
              <w:keepNext/>
              <w:keepLines/>
              <w:spacing w:before="340" w:after="330" w:line="578"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495"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5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跨国公司对主办企业开展跨境资金集中运营业务的授权书</w:t>
            </w:r>
          </w:p>
        </w:tc>
        <w:tc>
          <w:tcPr>
            <w:tcW w:w="99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加盖跨国公司公章的</w:t>
            </w:r>
            <w:r>
              <w:rPr>
                <w:rFonts w:ascii="Times New Roman" w:hAnsi="Times New Roman" w:eastAsia="仿宋_GB2312" w:cs="Times New Roman"/>
                <w:sz w:val="24"/>
                <w:szCs w:val="24"/>
              </w:rPr>
              <w:t>原件</w:t>
            </w:r>
          </w:p>
        </w:tc>
        <w:tc>
          <w:tcPr>
            <w:tcW w:w="3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94"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5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主办企业与合作银行共同签署的《跨境资金集中运营业务办理确认书》（见附录四）</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3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94"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5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主办企业及境内成员企业营业执照复印件和货物贸易分类结果证明材料</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3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94"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9" w:hRule="atLeast"/>
        </w:trPr>
        <w:tc>
          <w:tcPr>
            <w:tcW w:w="495"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5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境外成员企业注册文件（非中文的同时提供中文翻译件）</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复印件</w:t>
            </w:r>
          </w:p>
        </w:tc>
        <w:tc>
          <w:tcPr>
            <w:tcW w:w="3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94"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9" w:hRule="atLeast"/>
        </w:trPr>
        <w:tc>
          <w:tcPr>
            <w:tcW w:w="495"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5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金融业务许可证及经营范围批准文件（仅主办企业为财务公司的需提供）</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复印件</w:t>
            </w:r>
          </w:p>
        </w:tc>
        <w:tc>
          <w:tcPr>
            <w:tcW w:w="3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94"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9" w:hRule="atLeast"/>
        </w:trPr>
        <w:tc>
          <w:tcPr>
            <w:tcW w:w="495"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7</w:t>
            </w:r>
          </w:p>
        </w:tc>
        <w:tc>
          <w:tcPr>
            <w:tcW w:w="5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贡献外债额度成员企业上年度经审计的资产负债表复印件</w:t>
            </w:r>
          </w:p>
        </w:tc>
        <w:tc>
          <w:tcPr>
            <w:tcW w:w="992"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3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94" w:type="dxa"/>
          </w:tcPr>
          <w:p>
            <w:pPr>
              <w:jc w:val="center"/>
              <w:rPr>
                <w:rFonts w:ascii="Times New Roman" w:hAnsi="Times New Roman" w:eastAsia="仿宋_GB2312" w:cs="Times New Roman"/>
                <w:sz w:val="24"/>
                <w:szCs w:val="24"/>
              </w:rPr>
            </w:pPr>
          </w:p>
        </w:tc>
      </w:tr>
    </w:tbl>
    <w:p>
      <w:pPr>
        <w:tabs>
          <w:tab w:val="right" w:pos="8306"/>
        </w:tabs>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跨国公司跨境资金集中运营-集中外债额度业务变更备案</w:t>
      </w:r>
      <w:r>
        <w:rPr>
          <w:rFonts w:ascii="Times New Roman" w:hAnsi="Times New Roman" w:eastAsia="仿宋_GB2312" w:cs="Times New Roman"/>
          <w:sz w:val="30"/>
          <w:szCs w:val="30"/>
        </w:rPr>
        <w:tab/>
      </w:r>
    </w:p>
    <w:tbl>
      <w:tblPr>
        <w:tblStyle w:val="13"/>
        <w:tblW w:w="7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253"/>
        <w:gridCol w:w="992"/>
        <w:gridCol w:w="567"/>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25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708"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253" w:type="dxa"/>
            <w:vAlign w:val="center"/>
          </w:tcPr>
          <w:p>
            <w:pPr>
              <w:jc w:val="lef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书面申请</w:t>
            </w:r>
          </w:p>
        </w:tc>
        <w:tc>
          <w:tcPr>
            <w:tcW w:w="992"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08"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主办企业变更、成员企业新增或退出、外债和境外放款额度变更、业务种类变更的，参照备案提交材料</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w:t>
            </w:r>
          </w:p>
        </w:tc>
        <w:tc>
          <w:tcPr>
            <w:tcW w:w="708"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4253" w:type="dxa"/>
            <w:vAlign w:val="center"/>
          </w:tcPr>
          <w:p>
            <w:pP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主办企业、成员企业发生名称变更、分立、合并的，主办企业应在事项发生之日起一个月内报所在地外汇局，同时提交原备案通知书复印件、变更所涉企业的相关情况说明、涉及变更事项的证明材料</w:t>
            </w:r>
          </w:p>
        </w:tc>
        <w:tc>
          <w:tcPr>
            <w:tcW w:w="99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加盖主办企业公章的原件或复印件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08"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加盖银行业务公章的原账户余额对账单（合作银行变更时提供）</w:t>
            </w:r>
          </w:p>
        </w:tc>
        <w:tc>
          <w:tcPr>
            <w:tcW w:w="992"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08"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4253" w:type="dxa"/>
            <w:vAlign w:val="center"/>
          </w:tcPr>
          <w:p>
            <w:pPr>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主办企业与合作银行签署的《跨境资金集中运营业务办理确认书》（合作银行变更时提供）</w:t>
            </w:r>
          </w:p>
        </w:tc>
        <w:tc>
          <w:tcPr>
            <w:tcW w:w="99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加盖主办企业公章的原件或复印件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08" w:type="dxa"/>
            <w:vAlign w:val="center"/>
          </w:tcPr>
          <w:p>
            <w:pPr>
              <w:jc w:val="center"/>
              <w:rPr>
                <w:rFonts w:ascii="Times New Roman" w:hAnsi="Times New Roman" w:eastAsia="仿宋_GB2312" w:cs="Times New Roman"/>
                <w:sz w:val="24"/>
                <w:szCs w:val="24"/>
              </w:rPr>
            </w:pPr>
          </w:p>
        </w:tc>
      </w:tr>
    </w:tbl>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 xml:space="preserve">非银行债务人外债登记-外债注销登记申请材料   </w:t>
      </w:r>
    </w:p>
    <w:tbl>
      <w:tblPr>
        <w:tblStyle w:val="13"/>
        <w:tblW w:w="7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835"/>
        <w:gridCol w:w="1417"/>
        <w:gridCol w:w="992"/>
        <w:gridCol w:w="993"/>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283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41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9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99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83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书面申请，并附原《境内机构外债签约情况表》</w:t>
            </w:r>
          </w:p>
        </w:tc>
        <w:tc>
          <w:tcPr>
            <w:tcW w:w="141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加盖公章的</w:t>
            </w:r>
            <w:r>
              <w:rPr>
                <w:rFonts w:ascii="Times New Roman" w:hAnsi="Times New Roman" w:eastAsia="仿宋_GB2312" w:cs="Times New Roman"/>
                <w:sz w:val="24"/>
                <w:szCs w:val="24"/>
              </w:rPr>
              <w:t>原件</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993"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83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银行出具的相关关户证明材料（如有）</w:t>
            </w:r>
          </w:p>
        </w:tc>
        <w:tc>
          <w:tcPr>
            <w:tcW w:w="141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99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跨国公司跨境资金集中运营-集中外债额度业务注销</w:t>
      </w:r>
    </w:p>
    <w:tbl>
      <w:tblPr>
        <w:tblStyle w:val="13"/>
        <w:tblW w:w="7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4223"/>
        <w:gridCol w:w="985"/>
        <w:gridCol w:w="563"/>
        <w:gridCol w:w="845"/>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52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22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8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4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75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529"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223"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注销申请（包括：跨国公司跨境资金集中运营的外债额度及境外放款额度集中、跨境收支及结售汇、国内资金主账户的关闭等相关情况）</w:t>
            </w:r>
          </w:p>
        </w:tc>
        <w:tc>
          <w:tcPr>
            <w:tcW w:w="98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4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4" w:type="dxa"/>
            <w:vAlign w:val="center"/>
          </w:tcPr>
          <w:p>
            <w:pPr>
              <w:jc w:val="left"/>
              <w:rPr>
                <w:rFonts w:ascii="Times New Roman" w:hAnsi="Times New Roman" w:eastAsia="仿宋_GB2312" w:cs="Times New Roman"/>
                <w:sz w:val="24"/>
                <w:szCs w:val="24"/>
              </w:rPr>
            </w:pPr>
          </w:p>
        </w:tc>
      </w:tr>
    </w:tbl>
    <w:p>
      <w:pPr>
        <w:adjustRightInd w:val="0"/>
        <w:snapToGrid w:val="0"/>
        <w:spacing w:line="360" w:lineRule="auto"/>
        <w:ind w:firstLine="600" w:firstLineChars="200"/>
        <w:outlineLvl w:val="0"/>
        <w:rPr>
          <w:rFonts w:ascii="Times New Roman" w:hAnsi="Times New Roman" w:eastAsia="黑体" w:cs="Times New Roman"/>
          <w:sz w:val="30"/>
          <w:szCs w:val="30"/>
        </w:rPr>
      </w:pP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仿宋_GB2312" w:eastAsia="仿宋_GB2312"/>
          <w:sz w:val="30"/>
          <w:szCs w:val="30"/>
        </w:rPr>
      </w:pPr>
      <w:r>
        <w:rPr>
          <w:rFonts w:ascii="Times New Roman" w:hAnsi="Times New Roman" w:eastAsia="黑体" w:cs="Times New Roman"/>
          <w:sz w:val="30"/>
          <w:szCs w:val="30"/>
        </w:rPr>
        <w:t>基本流程图</w:t>
      </w:r>
      <w:r>
        <w:rPr>
          <w:rFonts w:ascii="仿宋_GB2312" w:eastAsia="仿宋_GB2312"/>
          <w:sz w:val="30"/>
          <w:szCs w:val="30"/>
        </w:rPr>
        <w:pict>
          <v:group id="组合 170" o:spid="_x0000_s2050" o:spt="203" style="position:absolute;left:0pt;margin-left:-18pt;margin-top:28.25pt;height:586.05pt;width:453.65pt;z-index:251664384;mso-width-relative:page;mso-height-relative:page;" coordorigin="1195,3000" coordsize="9073,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">
            <o:lock v:ext="edit"/>
            <v:rect id="Rectangle 6" o:spid="_x0000_s2051"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path/>
              <v:fill focussize="0,0"/>
              <v:stroke/>
              <v:imagedata o:title=""/>
              <o:lock v:ext="edit"/>
              <v:textbox>
                <w:txbxContent>
                  <w:p>
                    <w:pPr>
                      <w:jc w:val="center"/>
                    </w:pPr>
                    <w:r>
                      <w:t>审核</w:t>
                    </w:r>
                  </w:p>
                </w:txbxContent>
              </v:textbox>
            </v:rect>
            <v:shape id="AutoShape 7" o:spid="_x0000_s2052"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I8MA&#10;AADcAAAADwAAAGRycy9kb3ducmV2LnhtbERPyWrDMBC9F/oPYgq9lEZuKGlxLQdjCMkhEJrlPlgT&#10;20QaGUmNnb+vCoHe5vHWKZaTNeJKPvSOFbzNMhDEjdM9twqOh9XrJ4gQkTUax6TgRgGW5eNDgbl2&#10;I3/TdR9bkUI45Kigi3HIpQxNRxbDzA3EiTs7bzEm6FupPY4p3Bo5z7KFtNhzauhwoLqj5rL/sQp2&#10;W1N7U9O4rm+nzfH0Xr1sF5VSz09T9QUi0hT/xXf3Rqf5H3P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rI8MAAADcAAAADwAAAAAAAAAAAAAAAACYAgAAZHJzL2Rv&#10;d25yZXYueG1sUEsFBgAAAAAEAAQA9QAAAIg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8" o:spid="_x0000_s2053"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uMIA&#10;AADcAAAADwAAAGRycy9kb3ducmV2LnhtbERP32vCMBB+H/g/hBvsZWjqNpxUo5SCzAdh6PT9aM62&#10;LLmUJNr63y8Dwbf7+H7ecj1YI67kQ+tYwXSSgSCunG65VnD82YznIEJE1mgck4IbBVivRk9LzLXr&#10;eU/XQ6xFCuGQo4Imxi6XMlQNWQwT1xEn7uy8xZigr6X22Kdwa+Rbls2kxZZTQ4MdlQ1Vv4eLVfC9&#10;M6U3JfVf5e20PZ4+itfdrFDq5XkoFiAiDfEhvru3Os3/fI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lg64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9" o:spid="_x0000_s2054"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Jb6sMAAADcAAAADwAAAGRycy9kb3ducmV2LnhtbERPTWsCMRC9C/0PYQreNKuI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CW+rDAAAA3AAAAA8AAAAAAAAAAAAA&#10;AAAAoQIAAGRycy9kb3ducmV2LnhtbFBLBQYAAAAABAAEAPkAAACRAwAAAAA=&#10;">
              <v:path arrowok="t"/>
              <v:fill on="f" focussize="0,0"/>
              <v:stroke endarrow="block"/>
              <v:imagedata o:title=""/>
              <o:lock v:ext="edit"/>
            </v:shape>
            <v:shape id="AutoShape 10" o:spid="_x0000_s2055"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7+ccMAAADcAAAADwAAAGRycy9kb3ducmV2LnhtbERPTWsCMRC9C/0PYQreNKug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nHDAAAA3AAAAA8AAAAAAAAAAAAA&#10;AAAAoQIAAGRycy9kb3ducmV2LnhtbFBLBQYAAAAABAAEAPkAAACRAwAAAAA=&#10;">
              <v:path arrowok="t"/>
              <v:fill on="f" focussize="0,0"/>
              <v:stroke endarrow="block"/>
              <v:imagedata o:title=""/>
              <o:lock v:ext="edit"/>
            </v:shape>
            <v:shape id="AutoShape 11" o:spid="_x0000_s2056"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path arrowok="t"/>
              <v:fill on="f" focussize="0,0"/>
              <v:stroke endarrow="block"/>
              <v:imagedata o:title=""/>
              <o:lock v:ext="edit"/>
            </v:shape>
            <v:shape id="AutoShape 12" o:spid="_x0000_s2057"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path arrowok="t"/>
              <v:fill on="f" focussize="0,0"/>
              <v:stroke/>
              <v:imagedata o:title=""/>
              <o:lock v:ext="edit"/>
            </v:shape>
            <v:shape id="AutoShape 13" o:spid="_x0000_s2058"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14" o:spid="_x0000_s2059"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15" o:spid="_x0000_s2060"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group id="Group 16" o:spid="_x0000_s2061"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o:lock v:ext="edit"/>
                <v:shape id="AutoShape 17" o:spid="_x0000_s2062"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vjB8MAAADcAAAADwAAAGRycy9kb3ducmV2LnhtbERPS4vCMBC+C/6HMMLeNFXBLdUoPlh2&#10;wZOuoMehGdtqMilNqt1/vxEW9jYf33MWq84a8aDGV44VjEcJCOLc6YoLBafvj2EKwgdkjcYxKfgh&#10;D6tlv7fATLsnH+hxDIWIIewzVFCGUGdS+rwki37kauLIXV1jMUTYFFI3+Izh1shJksykxYpjQ4k1&#10;bUvK78fWKtjsN+10ag5tmJ1ul/fzzqw/07FSb4NuPQcRqAv/4j/3l47z0wm8nokX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L4wfDAAAA3AAAAA8AAAAAAAAAAAAA&#10;AAAAoQIAAGRycy9kb3ducmV2LnhtbFBLBQYAAAAABAAEAPkAAACRAwAAAAA=&#10;" adj="33">
                  <v:path arrowok="t"/>
                  <v:fill on="f" focussize="0,0"/>
                  <v:stroke joinstyle="miter"/>
                  <v:imagedata o:title=""/>
                  <o:lock v:ext="edit"/>
                </v:shape>
                <v:shape id="Text Box 18" o:spid="_x0000_s2063"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SRvsAA&#10;AADcAAAADwAAAGRycy9kb3ducmV2LnhtbERPTYvCMBC9L/gfwgheFk2ts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1SRvsAAAADcAAAADwAAAAAAAAAAAAAAAACYAgAAZHJzL2Rvd25y&#10;ZXYueG1sUEsFBgAAAAAEAAQA9QAAAIUDA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19" o:spid="_x0000_s2064"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Text Box 20" o:spid="_x0000_s2065"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UcAA&#10;AADcAAAADwAAAGRycy9kb3ducmV2LnhtbERPTYvCMBC9L/gfwgheFk0tu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sUcAAAADcAAAADwAAAAAAAAAAAAAAAACYAgAAZHJzL2Rvd25y&#10;ZXYueG1sUEsFBgAAAAAEAAQA9QAAAIUDAAAAAA==&#10;">
                  <v:path/>
                  <v:fill focussize="0,0"/>
                  <v:stroke color="#FFFFFF" joinstyle="miter"/>
                  <v:imagedata o:title=""/>
                  <o:lock v:ext="edit"/>
                  <v:textbox>
                    <w:txbxContent>
                      <w:p>
                        <w:pPr>
                          <w:jc w:val="center"/>
                        </w:pPr>
                        <w:r>
                          <w:rPr>
                            <w:rFonts w:hint="eastAsia"/>
                          </w:rPr>
                          <w:t>材料齐全并符合受理要求</w:t>
                        </w:r>
                      </w:p>
                    </w:txbxContent>
                  </v:textbox>
                </v:shape>
                <v:shape id="AutoShape 21" o:spid="_x0000_s2066" o:spt="4" type="#_x0000_t4" style="position:absolute;left:5346;top:7833;height:1733;width:3637;"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8ZvMIA&#10;AADcAAAADwAAAGRycy9kb3ducmV2LnhtbERPS2rDMBDdF3oHMYXuGjldBONGMSEQCG02cXuAqTWx&#10;nFgjW1Jt9/ZRoNDdPN531uVsOzGSD61jBctFBoK4drrlRsHX5/4lBxEissbOMSn4pQDl5vFhjYV2&#10;E59orGIjUgiHAhWYGPtCylAbshgWridO3Nl5izFB30jtcUrhtpOvWbaSFltODQZ72hmqr9WPVXD5&#10;7s10zIdzVtV+lO9HfxhOH0o9P83bNxCR5vgv/nMfdJqfr+D+TLp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xm8wgAAANwAAAAPAAAAAAAAAAAAAAAAAJgCAABkcnMvZG93&#10;bnJldi54bWxQSwUGAAAAAAQABAD1AAAAhwMAAAAA&#10;">
                  <v:path/>
                  <v:fill focussize="0,0"/>
                  <v:stroke joinstyle="miter"/>
                  <v:imagedata o:title=""/>
                  <o:lock v:ext="edit"/>
                  <v:textbox>
                    <w:txbxContent>
                      <w:p>
                        <w:r>
                          <w:rPr>
                            <w:rFonts w:hint="eastAsia"/>
                          </w:rPr>
                          <w:t>申请人补充材料</w:t>
                        </w:r>
                      </w:p>
                    </w:txbxContent>
                  </v:textbox>
                </v:shape>
                <v:rect id="Rectangle 22" o:spid="_x0000_s2067"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3" o:spid="_x0000_s2068"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4" o:spid="_x0000_s2069" o:spt="116" type="#_x0000_t116" style="position:absolute;left:5913;top:4050;height:1710;width:292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tJdcIA&#10;AADcAAAADwAAAGRycy9kb3ducmV2LnhtbERPS2sCMRC+F/wPYYReimaVIroaZVkoehBKfdyHzbi7&#10;mEyWJHXXf98UCr3Nx/eczW6wRjzIh9axgtk0A0FcOd1yreBy/pgsQYSIrNE4JgVPCrDbjl42mGvX&#10;8xc9TrEWKYRDjgqaGLtcylA1ZDFMXUecuJvzFmOCvpbaY5/CrZHzLFtIiy2nhgY7Khuq7qdvq+Dz&#10;aEpvSur35fN6uFzfi7fjolDqdTwUaxCRhvgv/nMfdJq/XMH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0l1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5" o:spid="_x0000_s2070" o:spt="203" style="position:absolute;left:1195;top:3000;height:7424;width:4746;" coordorigin="1195,3000" coordsize="4746,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o:lock v:ext="edit"/>
                  <v:shape id="AutoShape 26" o:spid="_x0000_s2071"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path arrowok="t"/>
                    <v:fill on="f" focussize="0,0"/>
                    <v:stroke endarrow="block"/>
                    <v:imagedata o:title=""/>
                    <o:lock v:ext="edit"/>
                  </v:shape>
                  <v:shape id="AutoShape 27" o:spid="_x0000_s2072"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sqMMAAADcAAAADwAAAGRycy9kb3ducmV2LnhtbERPTWsCMRC9C/6HMIIXqVkFpd0aZSsI&#10;WvCgbe/TzbgJbibbTdTtv28Kgrd5vM9ZrDpXiyu1wXpWMBlnIIhLry1XCj4/Nk/PIEJE1lh7JgW/&#10;FGC17PcWmGt/4wNdj7ESKYRDjgpMjE0uZSgNOQxj3xAn7uRbhzHBtpK6xVsKd7WcZtlcOrScGgw2&#10;tDZUno8Xp2C/m7wV38bu3g8/dj/bFPWlGn0pNRx0xSuISF18iO/urU7zX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8LKjDAAAA3AAAAA8AAAAAAAAAAAAA&#10;AAAAoQIAAGRycy9kb3ducmV2LnhtbFBLBQYAAAAABAAEAPkAAACRAwAAAAA=&#10;">
                    <v:path arrowok="t"/>
                    <v:fill on="f" focussize="0,0"/>
                    <v:stroke/>
                    <v:imagedata o:title=""/>
                    <o:lock v:ext="edit"/>
                  </v:shape>
                  <v:group id="Group 28" o:spid="_x0000_s2073" o:spt="203" style="position:absolute;left:1195;top:3000;height:4066;width:3781;" coordorigin="1195,3000" coordsize="3781,4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o:lock v:ext="edit"/>
                    <v:shape id="AutoShape 29" o:spid="_x0000_s2074"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path arrowok="t"/>
                      <v:fill on="f" focussize="0,0"/>
                      <v:stroke endarrow="block"/>
                      <v:imagedata o:title=""/>
                      <o:lock v:ext="edit"/>
                    </v:shape>
                    <v:shape id="AutoShape 30" o:spid="_x0000_s2075" o:spt="32" type="#_x0000_t32" style="position:absolute;left:4188;top:5967;flip:y;height:26;width:788;"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Q0t8IAAADcAAAADwAAAGRycy9kb3ducmV2LnhtbERPTWsCMRC9F/ofwgheimZXqOjWKKUg&#10;iAehugePQzLdXdxMtklc139vCgVv83ifs9oMthU9+dA4VpBPMxDE2pmGKwXlaTtZgAgR2WDrmBTc&#10;KcBm/fqywsK4G39Tf4yVSCEcClRQx9gVUgZdk8UwdR1x4n6ctxgT9JU0Hm8p3LZylmVzabHh1FBj&#10;R1816cvxahU0+/JQ9m+/0evFPj/7PJzOrVZqPBo+P0BEGuJT/O/emTR/+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Q0t8IAAADcAAAADwAAAAAAAAAAAAAA&#10;AAChAgAAZHJzL2Rvd25yZXYueG1sUEsFBgAAAAAEAAQA+QAAAJADAAAAAA==&#10;">
                      <v:path arrowok="t"/>
                      <v:fill on="f" focussize="0,0"/>
                      <v:stroke/>
                      <v:imagedata o:title=""/>
                      <o:lock v:ext="edit"/>
                    </v:shape>
                    <v:shape id="AutoShape 31" o:spid="_x0000_s2076" o:spt="4" type="#_x0000_t4" style="position:absolute;left:1195;top:4919;height:2147;width:299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PYcEA&#10;AADcAAAADwAAAGRycy9kb3ducmV2LnhtbERPzWoCMRC+F3yHMEJvNasHsatRSkEQ9eLWBxg342bb&#10;zWRN4u727ZuC4G0+vt9ZbQbbiI58qB0rmE4yEMSl0zVXCs5f27cFiBCRNTaOScEvBdisRy8rzLXr&#10;+URdESuRQjjkqMDE2OZShtKQxTBxLXHirs5bjAn6SmqPfQq3jZxl2VxarDk1GGzp01D5U9ytgu9L&#10;a/rj4nbNitJ3cn/0u9vpoNTrePhYgog0xKf44d7pNP99Dv/Pp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mj2H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32" o:spid="_x0000_s2077"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uQcIA&#10;AADcAAAADwAAAGRycy9kb3ducmV2LnhtbERPS2sCMRC+F/ofwhR6KTVrEa2rUZaFUg9C8XUfNuPu&#10;YjJZkuiu/94UCr3Nx/ec5XqwRtzIh9axgvEoA0FcOd1yreB4+Hr/BBEiskbjmBTcKcB69fy0xFy7&#10;nnd028dapBAOOSpoYuxyKUPVkMUwch1x4s7OW4wJ+lpqj30Kt0Z+ZNlUWmw5NTTYUdlQddlfrYKf&#10;rSm9Kan/Lu+nzfE0Kd6200Kp15ehWICINMR/8Z97o9P8+Q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e5B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3" o:spid="_x0000_s2078"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O3FcYAAADcAAAADwAAAGRycy9kb3ducmV2LnhtbESPQWvCQBCF74X+h2UK3urGHqRJXUUE&#10;pVh6UEtob0N2TILZ2bC7auyvdw6F3mZ4b977ZrYYXKcuFGLr2cBknIEirrxtuTbwdVg/v4KKCdli&#10;55kM3CjCYv74MMPC+ivv6LJPtZIQjgUaaFLqC61j1ZDDOPY9sWhHHxwmWUOtbcCrhLtOv2TZVDts&#10;WRoa7GnVUHXan52B74/8XN7KT9qWk3z7g8HF38PGmNHTsHwDlWhI/+a/63cr+LnQyj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DtxXGAAAA3AAAAA8AAAAAAAAA&#10;AAAAAAAAoQIAAGRycy9kb3ducmV2LnhtbFBLBQYAAAAABAAEAPkAAACUAwAAAAA=&#10;">
                    <v:path arrowok="t"/>
                    <v:fill on="f" focussize="0,0"/>
                    <v:stroke endarrow="block"/>
                    <v:imagedata o:title=""/>
                    <o:lock v:ext="edit"/>
                  </v:shape>
                  <v:shape id="AutoShape 34" o:spid="_x0000_s2079"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i+2cMAAADcAAAADwAAAGRycy9kb3ducmV2LnhtbERPTWsCMRC9F/wPYQq9lJq1UKmrUdaC&#10;UAUP2nofN+MmdDPZbqKu/94Igrd5vM+ZzDpXixO1wXpWMOhnIIhLry1XCn5/Fm+fIEJE1lh7JgUX&#10;CjCb9p4mmGt/5g2dtrESKYRDjgpMjE0uZSgNOQx93xAn7uBbhzHBtpK6xXMKd7V8z7KhdGg5NRhs&#10;6MtQ+bc9OgXr5WBe7I1drjb/dv2xKOpj9bpT6uW5K8YgInXxIb67v3WaPxrB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YvtnDAAAA3AAAAA8AAAAAAAAAAAAA&#10;AAAAoQIAAGRycy9kb3ducmV2LnhtbFBLBQYAAAAABAAEAPkAAACRAwAAAAA=&#10;">
                    <v:path arrowok="t"/>
                    <v:fill on="f" focussize="0,0"/>
                    <v:stroke/>
                    <v:imagedata o:title=""/>
                    <o:lock v:ext="edit"/>
                  </v:shape>
                  <v:shape id="AutoShape 35" o:spid="_x0000_s2080"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P6MUAAADcAAAADwAAAGRycy9kb3ducmV2LnhtbESPT2vCQBTE74V+h+UVeqsbPZQaXaUU&#10;WiTSQ1WC3h7ZZxLMvg27a/746buFgsdhZn7DLNeDaURHzteWFUwnCQjiwuqaSwWH/efLGwgfkDU2&#10;lknBSB7Wq8eHJaba9vxD3S6UIkLYp6igCqFNpfRFRQb9xLbE0TtbZzBE6UqpHfYRbho5S5JXabDm&#10;uFBhSx8VFZfd1Sg4bufXfMy/Kcun8+yEzvjb/kup56fhfQEi0BDu4f/2RiuIRP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pP6MUAAADcAAAADwAAAAAAAAAA&#10;AAAAAAChAgAAZHJzL2Rvd25yZXYueG1sUEsFBgAAAAAEAAQA+QAAAJMDAAAAAA==&#10;">
                    <v:path arrowok="t"/>
                    <v:fill on="f" focussize="0,0"/>
                    <v:stroke endarrow="block"/>
                    <v:imagedata o:title=""/>
                    <o:lock v:ext="edit"/>
                  </v:shape>
                  <v:shape id="Text Box 36" o:spid="_x0000_s2081"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IdMIA&#10;AADcAAAADwAAAGRycy9kb3ducmV2LnhtbESPT4vCMBTE7wt+h/AEL4sm9iBLNYqIi179c/H2aJ5t&#10;sXlpm6ytfnojCHscZuY3zGLV20rcqfWlYw3TiQJBnDlTcq7hfPod/4DwAdlg5Zg0PMjDajn4WmBq&#10;XMcHuh9DLiKEfYoaihDqVEqfFWTRT1xNHL2ray2GKNtcmha7CLeVTJSaSYslx4UCa9oUlN2Of1aD&#10;67YP66hRyfflaXebdXO4Jo3Wo2G/noMI1If/8Ke9NxoSNYX3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Mh0wgAAANwAAAAPAAAAAAAAAAAAAAAAAJgCAABkcnMvZG93&#10;bnJldi54bWxQSwUGAAAAAAQABAD1AAAAhwMAAAAA&#10;">
                    <v:path/>
                    <v:fill focussize="0,0"/>
                    <v:stroke color="#FFFFFF" joinstyle="miter"/>
                    <v:imagedata o:title=""/>
                    <o:lock v:ext="edit"/>
                    <v:textbox>
                      <w:txbxContent>
                        <w:p>
                          <w:r>
                            <w:rPr>
                              <w:rFonts w:hint="eastAsia"/>
                            </w:rPr>
                            <w:t>是</w:t>
                          </w:r>
                        </w:p>
                      </w:txbxContent>
                    </v:textbox>
                  </v:shape>
                  <v:shape id="Text Box 37" o:spid="_x0000_s2082"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7vMUA&#10;AADcAAAADwAAAGRycy9kb3ducmV2LnhtbESPT2vCQBTE7wW/w/KE3nTTHCREV5FUsaW0YNT7M/vy&#10;B7NvQ3bVtJ++WxB6HGZ+M8xiNZhW3Kh3jWUFL9MIBHFhdcOVguNhO0lAOI+ssbVMCr7JwWo5elpg&#10;qu2d93TLfSVCCbsUFdTed6mUrqjJoJvajjh4pe0N+iD7Suoe76HctDKOopk02HBYqLGjrKbikl+N&#10;gvgT/Xte7naz5OP8c8xev5LN6arU83hYz0F4Gvx/+EG/6cBF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Hu8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38" o:spid="_x0000_s2083" o:spt="32" type="#_x0000_t32" style="position:absolute;left:8927;top:4886;flip:x;height:0;width:134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a3MMAAADcAAAADwAAAGRycy9kb3ducmV2LnhtbESPQWvCQBSE70L/w/IK3nRjpFJS12AF&#10;QbxIbaE9PrLPZDH7NmS32fjv3ULB4zAz3zDrcrStGKj3xrGCxTwDQVw5bbhW8PW5n72C8AFZY+uY&#10;FNzIQ7l5mqyx0C7yBw3nUIsEYV+ggiaErpDSVw1Z9HPXESfv4nqLIcm+lrrHmOC2lXmWraRFw2mh&#10;wY52DVXX869VYOLJDN1hF9+P3z9eRzK3F2eUmj6P2zcQgcbwCP+3D1pBni3h7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ZmtzDAAAA3AAAAA8AAAAAAAAAAAAA&#10;AAAAoQIAAGRycy9kb3ducmV2LnhtbFBLBQYAAAAABAAEAPkAAACRAwAAAAA=&#10;">
                  <v:path arrowok="t"/>
                  <v:fill on="f" focussize="0,0"/>
                  <v:stroke endarrow="block"/>
                  <v:imagedata o:title=""/>
                  <o:lock v:ext="edit"/>
                </v:shape>
              </v:group>
            </v:group>
          </v:group>
        </w:pict>
      </w:r>
    </w:p>
    <w:p>
      <w:pPr>
        <w:ind w:right="300"/>
        <w:jc w:val="center"/>
        <w:rPr>
          <w:rFonts w:ascii="仿宋_GB2312" w:eastAsia="仿宋_GB2312"/>
          <w:sz w:val="30"/>
          <w:szCs w:val="30"/>
        </w:rPr>
      </w:pPr>
    </w:p>
    <w:p>
      <w:pPr>
        <w:ind w:right="300"/>
        <w:jc w:val="center"/>
        <w:rPr>
          <w:rFonts w:ascii="仿宋_GB2312" w:eastAsia="仿宋_GB2312"/>
          <w:sz w:val="30"/>
          <w:szCs w:val="30"/>
        </w:rPr>
      </w:pPr>
    </w:p>
    <w:p>
      <w:pPr>
        <w:ind w:right="300"/>
        <w:jc w:val="center"/>
        <w:rPr>
          <w:rFonts w:ascii="仿宋_GB2312" w:eastAsia="仿宋_GB2312"/>
          <w:sz w:val="30"/>
          <w:szCs w:val="30"/>
        </w:rPr>
      </w:pPr>
    </w:p>
    <w:p>
      <w:pPr>
        <w:ind w:right="300"/>
        <w:jc w:val="left"/>
        <w:rPr>
          <w:rFonts w:ascii="仿宋_GB2312" w:eastAsia="仿宋_GB2312"/>
          <w:sz w:val="30"/>
          <w:szCs w:val="30"/>
        </w:rPr>
      </w:pPr>
    </w:p>
    <w:p>
      <w:pPr>
        <w:tabs>
          <w:tab w:val="center" w:pos="4363"/>
        </w:tabs>
        <w:ind w:firstLine="600" w:firstLineChars="200"/>
        <w:rPr>
          <w:rFonts w:ascii="仿宋_GB2312" w:eastAsia="仿宋_GB2312"/>
          <w:sz w:val="30"/>
          <w:szCs w:val="30"/>
        </w:rPr>
      </w:pPr>
      <w:r>
        <w:rPr>
          <w:rFonts w:ascii="仿宋_GB2312" w:eastAsia="仿宋_GB2312"/>
          <w:sz w:val="30"/>
          <w:szCs w:val="30"/>
        </w:rPr>
        <w:tab/>
      </w:r>
    </w:p>
    <w:p>
      <w:pPr>
        <w:ind w:firstLine="420"/>
      </w:pPr>
    </w:p>
    <w:p>
      <w:pPr>
        <w:widowControl/>
        <w:jc w:val="left"/>
        <w:rPr>
          <w:rFonts w:ascii="仿宋_GB2312" w:eastAsia="仿宋_GB2312"/>
          <w:sz w:val="30"/>
          <w:szCs w:val="30"/>
        </w:rPr>
      </w:pPr>
    </w:p>
    <w:p>
      <w:pPr>
        <w:widowControl/>
        <w:adjustRightInd w:val="0"/>
        <w:snapToGrid w:val="0"/>
        <w:spacing w:line="200" w:lineRule="atLeast"/>
        <w:jc w:val="left"/>
        <w:rPr>
          <w:rFonts w:ascii="Times New Roman" w:hAnsi="Times New Roman" w:eastAsia="仿宋_GB2312" w:cs="Times New Roman"/>
          <w:kern w:val="0"/>
          <w:sz w:val="30"/>
          <w:szCs w:val="30"/>
        </w:rPr>
      </w:pPr>
    </w:p>
    <w:p>
      <w:pPr>
        <w:widowControl/>
        <w:adjustRightInd w:val="0"/>
        <w:snapToGrid w:val="0"/>
        <w:spacing w:line="200" w:lineRule="atLeast"/>
        <w:jc w:val="left"/>
        <w:rPr>
          <w:rFonts w:ascii="Times New Roman" w:hAnsi="Times New Roman" w:eastAsia="仿宋_GB2312" w:cs="Times New Roman"/>
          <w:kern w:val="0"/>
          <w:sz w:val="30"/>
          <w:szCs w:val="30"/>
        </w:rPr>
      </w:pPr>
    </w:p>
    <w:p>
      <w:pPr>
        <w:widowControl/>
        <w:adjustRightInd w:val="0"/>
        <w:snapToGrid w:val="0"/>
        <w:spacing w:line="200" w:lineRule="atLeast"/>
        <w:jc w:val="left"/>
        <w:rPr>
          <w:rFonts w:ascii="Times New Roman" w:hAnsi="Times New Roman" w:eastAsia="仿宋_GB2312" w:cs="Times New Roman"/>
          <w:kern w:val="0"/>
          <w:sz w:val="30"/>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p>
    <w:p>
      <w:pPr>
        <w:widowControl/>
        <w:adjustRightInd w:val="0"/>
        <w:snapToGrid w:val="0"/>
        <w:spacing w:line="200" w:lineRule="atLeast"/>
        <w:jc w:val="left"/>
        <w:rPr>
          <w:rFonts w:ascii="Times New Roman" w:hAnsi="Times New Roman" w:eastAsia="仿宋_GB2312" w:cs="Times New Roman"/>
          <w:kern w:val="0"/>
          <w:sz w:val="28"/>
          <w:szCs w:val="30"/>
        </w:rPr>
      </w:pPr>
      <w:r>
        <w:rPr>
          <w:rFonts w:ascii="Times New Roman" w:hAnsi="Times New Roman" w:eastAsia="仿宋_GB2312" w:cs="Times New Roman"/>
          <w:kern w:val="0"/>
          <w:sz w:val="28"/>
          <w:szCs w:val="30"/>
        </w:rPr>
        <w:t>附录二</w:t>
      </w:r>
      <w:bookmarkStart w:id="0" w:name="_Toc492328435"/>
      <w:bookmarkStart w:id="1" w:name="_Toc485028274"/>
      <w:bookmarkStart w:id="2" w:name="_Toc495992552"/>
      <w:bookmarkStart w:id="3" w:name="_Toc487492193"/>
    </w:p>
    <w:p>
      <w:pPr>
        <w:widowControl/>
        <w:adjustRightInd w:val="0"/>
        <w:snapToGrid w:val="0"/>
        <w:spacing w:line="240" w:lineRule="atLeast"/>
        <w:jc w:val="center"/>
        <w:rPr>
          <w:rFonts w:ascii="Times New Roman" w:hAnsi="Times New Roman" w:cs="Times New Roman"/>
          <w:sz w:val="28"/>
          <w:szCs w:val="28"/>
        </w:rPr>
      </w:pPr>
      <w:r>
        <w:rPr>
          <w:rFonts w:ascii="Times New Roman" w:hAnsi="Times New Roman" w:eastAsia="黑体" w:cs="Times New Roman"/>
          <w:sz w:val="30"/>
          <w:szCs w:val="30"/>
        </w:rPr>
        <w:t>非银行债务人外债签约（变更）登记（</w:t>
      </w:r>
      <w:r>
        <w:rPr>
          <w:rFonts w:ascii="Times New Roman" w:hAnsi="Times New Roman" w:cs="Times New Roman"/>
          <w:b/>
          <w:bCs/>
          <w:sz w:val="28"/>
          <w:szCs w:val="28"/>
        </w:rPr>
        <w:t>示范文本）</w:t>
      </w:r>
    </w:p>
    <w:p>
      <w:pPr>
        <w:widowControl/>
        <w:adjustRightInd w:val="0"/>
        <w:snapToGrid w:val="0"/>
        <w:spacing w:line="240" w:lineRule="atLeast"/>
        <w:jc w:val="center"/>
        <w:rPr>
          <w:rFonts w:ascii="Times New Roman" w:hAnsi="Times New Roman" w:cs="Times New Roman"/>
          <w:sz w:val="28"/>
          <w:szCs w:val="28"/>
        </w:rPr>
      </w:pPr>
      <w:r>
        <w:rPr>
          <w:rFonts w:ascii="Times New Roman" w:hAnsi="Times New Roman" w:cs="Times New Roman"/>
          <w:b/>
          <w:bCs/>
          <w:sz w:val="28"/>
          <w:szCs w:val="28"/>
        </w:rPr>
        <w:t>宏观审慎跨境融资风险加权余额情况表（企业版）</w:t>
      </w:r>
      <w:bookmarkEnd w:id="0"/>
      <w:bookmarkEnd w:id="1"/>
      <w:bookmarkEnd w:id="2"/>
      <w:bookmarkEnd w:id="3"/>
    </w:p>
    <w:p>
      <w:pPr>
        <w:ind w:firstLine="3045" w:firstLineChars="1450"/>
        <w:rPr>
          <w:rFonts w:ascii="Times New Roman" w:hAnsi="Times New Roman" w:cs="Times New Roman"/>
        </w:rPr>
      </w:pPr>
      <w:bookmarkStart w:id="4" w:name="_Toc485028275"/>
      <w:r>
        <w:rPr>
          <w:rFonts w:hint="eastAsia" w:ascii="Times New Roman" w:cs="Times New Roman"/>
        </w:rPr>
        <w:t xml:space="preserve">                             </w:t>
      </w:r>
      <w:r>
        <w:rPr>
          <w:rFonts w:ascii="Times New Roman" w:cs="Times New Roman"/>
        </w:rPr>
        <w:t>单位</w:t>
      </w:r>
      <w:r>
        <w:rPr>
          <w:rStyle w:val="16"/>
        </w:rPr>
        <w:footnoteReference w:id="0"/>
      </w:r>
      <w:r>
        <w:rPr>
          <w:rFonts w:ascii="Times New Roman" w:cs="Times New Roman"/>
        </w:rPr>
        <w:t>：万元人民币</w:t>
      </w:r>
    </w:p>
    <w:tbl>
      <w:tblPr>
        <w:tblStyle w:val="13"/>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709"/>
        <w:gridCol w:w="1673"/>
        <w:gridCol w:w="1461"/>
        <w:gridCol w:w="268"/>
        <w:gridCol w:w="1592"/>
        <w:gridCol w:w="47"/>
        <w:gridCol w:w="23"/>
        <w:gridCol w:w="17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基本信息</w:t>
            </w: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债务人名称</w:t>
            </w:r>
          </w:p>
        </w:tc>
        <w:tc>
          <w:tcPr>
            <w:tcW w:w="5181" w:type="dxa"/>
            <w:gridSpan w:val="6"/>
            <w:vAlign w:val="center"/>
          </w:tcPr>
          <w:p>
            <w:pPr>
              <w:spacing w:line="320" w:lineRule="exact"/>
              <w:jc w:val="center"/>
              <w:rPr>
                <w:rFonts w:ascii="Times New Roman" w:hAnsi="Times New Roman" w:cs="Times New Roman"/>
                <w:sz w:val="24"/>
              </w:rPr>
            </w:pPr>
            <w:r>
              <w:rPr>
                <w:rFonts w:ascii="Times New Roman" w:hAnsi="Times New Roman" w:cs="Times New Roman"/>
                <w:sz w:val="24"/>
              </w:rPr>
              <w:t>XXXX</w:t>
            </w:r>
            <w:r>
              <w:rPr>
                <w:rFonts w:ascii="Times New Roman" w:hAnsi="宋体" w:cs="Times New Roman"/>
                <w:sz w:val="24"/>
              </w:rPr>
              <w:t>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统一社会信用代码</w:t>
            </w:r>
          </w:p>
        </w:tc>
        <w:tc>
          <w:tcPr>
            <w:tcW w:w="1461" w:type="dxa"/>
            <w:vAlign w:val="center"/>
          </w:tcPr>
          <w:p>
            <w:pPr>
              <w:spacing w:line="320" w:lineRule="exact"/>
              <w:jc w:val="center"/>
              <w:rPr>
                <w:rFonts w:ascii="Times New Roman" w:hAnsi="Times New Roman" w:cs="Times New Roman"/>
                <w:sz w:val="24"/>
              </w:rPr>
            </w:pPr>
            <w:r>
              <w:rPr>
                <w:rFonts w:hint="eastAsia" w:ascii="Times New Roman" w:hAnsi="Times New Roman" w:cs="Times New Roman"/>
                <w:sz w:val="24"/>
              </w:rPr>
              <w:t xml:space="preserve"> </w:t>
            </w:r>
          </w:p>
        </w:tc>
        <w:tc>
          <w:tcPr>
            <w:tcW w:w="1860"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债务人类型</w:t>
            </w:r>
            <w:r>
              <w:rPr>
                <w:rStyle w:val="16"/>
                <w:sz w:val="24"/>
              </w:rPr>
              <w:footnoteReference w:id="1"/>
            </w:r>
          </w:p>
        </w:tc>
        <w:tc>
          <w:tcPr>
            <w:tcW w:w="1860" w:type="dxa"/>
            <w:gridSpan w:val="3"/>
            <w:vAlign w:val="center"/>
          </w:tcPr>
          <w:p>
            <w:pPr>
              <w:spacing w:line="320" w:lineRule="exact"/>
              <w:jc w:val="center"/>
              <w:rPr>
                <w:rFonts w:ascii="Times New Roman" w:hAnsi="Times New Roman" w:cs="Times New Roman"/>
                <w:sz w:val="24"/>
              </w:rPr>
            </w:pPr>
            <w:r>
              <w:rPr>
                <w:rFonts w:ascii="Times New Roman" w:hAnsi="宋体" w:cs="Times New Roman"/>
                <w:sz w:val="24"/>
              </w:rPr>
              <w:t>中资企业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跨境融资风险加权余额上限</w:t>
            </w: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净资产</w:t>
            </w:r>
            <w:r>
              <w:rPr>
                <w:rStyle w:val="16"/>
                <w:sz w:val="24"/>
              </w:rPr>
              <w:footnoteReference w:id="2"/>
            </w:r>
          </w:p>
        </w:tc>
        <w:tc>
          <w:tcPr>
            <w:tcW w:w="5181" w:type="dxa"/>
            <w:gridSpan w:val="6"/>
            <w:vAlign w:val="center"/>
          </w:tcPr>
          <w:p>
            <w:pPr>
              <w:spacing w:line="320" w:lineRule="exact"/>
              <w:jc w:val="center"/>
              <w:rPr>
                <w:rFonts w:ascii="Times New Roman" w:hAnsi="Times New Roman" w:cs="Times New Roman"/>
                <w:sz w:val="24"/>
              </w:rPr>
            </w:pPr>
            <w:r>
              <w:rPr>
                <w:rFonts w:hint="eastAsia" w:ascii="Times New Roman" w:hAnsi="Times New Roman" w:cs="Times New Roman"/>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风险加权余额</w:t>
            </w:r>
          </w:p>
          <w:p>
            <w:pPr>
              <w:spacing w:line="320" w:lineRule="exact"/>
              <w:jc w:val="center"/>
              <w:rPr>
                <w:rFonts w:ascii="Times New Roman" w:hAnsi="Times New Roman" w:cs="Times New Roman"/>
                <w:sz w:val="24"/>
              </w:rPr>
            </w:pPr>
            <w:r>
              <w:rPr>
                <w:rFonts w:ascii="Times New Roman" w:hAnsi="宋体" w:cs="Times New Roman"/>
                <w:sz w:val="24"/>
              </w:rPr>
              <w:t>上限</w:t>
            </w:r>
            <w:r>
              <w:rPr>
                <w:rStyle w:val="16"/>
                <w:sz w:val="24"/>
              </w:rPr>
              <w:footnoteReference w:id="3"/>
            </w:r>
          </w:p>
        </w:tc>
        <w:tc>
          <w:tcPr>
            <w:tcW w:w="5181" w:type="dxa"/>
            <w:gridSpan w:val="6"/>
            <w:vAlign w:val="center"/>
          </w:tcPr>
          <w:p>
            <w:pPr>
              <w:spacing w:line="320" w:lineRule="exact"/>
              <w:jc w:val="center"/>
              <w:rPr>
                <w:rFonts w:ascii="Times New Roman" w:hAnsi="Times New Roman" w:cs="Times New Roman"/>
                <w:sz w:val="24"/>
              </w:rPr>
            </w:pPr>
            <w:r>
              <w:rPr>
                <w:rFonts w:hint="eastAsia" w:ascii="Times New Roman" w:hAnsi="Times New Roman" w:cs="Times New Roman"/>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跨境融资风险加权余额</w:t>
            </w:r>
          </w:p>
        </w:tc>
        <w:tc>
          <w:tcPr>
            <w:tcW w:w="2382" w:type="dxa"/>
            <w:gridSpan w:val="2"/>
            <w:tcBorders>
              <w:tl2br w:val="single" w:color="auto" w:sz="4" w:space="0"/>
            </w:tcBorders>
            <w:vAlign w:val="center"/>
          </w:tcPr>
          <w:p>
            <w:pPr>
              <w:spacing w:line="320" w:lineRule="exact"/>
              <w:jc w:val="center"/>
              <w:rPr>
                <w:rFonts w:ascii="Times New Roman" w:hAnsi="Times New Roman" w:cs="Times New Roman"/>
                <w:sz w:val="24"/>
              </w:rPr>
            </w:pPr>
          </w:p>
        </w:tc>
        <w:tc>
          <w:tcPr>
            <w:tcW w:w="1729" w:type="dxa"/>
            <w:gridSpan w:val="2"/>
            <w:vAlign w:val="center"/>
          </w:tcPr>
          <w:p>
            <w:pPr>
              <w:spacing w:line="240" w:lineRule="exact"/>
              <w:jc w:val="center"/>
              <w:rPr>
                <w:rFonts w:ascii="Times New Roman" w:hAnsi="Times New Roman" w:cs="Times New Roman"/>
                <w:sz w:val="24"/>
              </w:rPr>
            </w:pPr>
            <w:r>
              <w:rPr>
                <w:rFonts w:ascii="Times New Roman" w:hAnsi="宋体" w:cs="Times New Roman"/>
                <w:sz w:val="24"/>
              </w:rPr>
              <w:t>中长期</w:t>
            </w:r>
          </w:p>
        </w:tc>
        <w:tc>
          <w:tcPr>
            <w:tcW w:w="1662" w:type="dxa"/>
            <w:gridSpan w:val="3"/>
            <w:vAlign w:val="center"/>
          </w:tcPr>
          <w:p>
            <w:pPr>
              <w:spacing w:line="240" w:lineRule="exact"/>
              <w:jc w:val="center"/>
              <w:rPr>
                <w:rFonts w:ascii="Times New Roman" w:hAnsi="Times New Roman" w:cs="Times New Roman"/>
                <w:sz w:val="24"/>
              </w:rPr>
            </w:pPr>
            <w:r>
              <w:rPr>
                <w:rFonts w:ascii="Times New Roman" w:hAnsi="宋体" w:cs="Times New Roman"/>
                <w:sz w:val="24"/>
              </w:rPr>
              <w:t>短期</w:t>
            </w:r>
          </w:p>
        </w:tc>
        <w:tc>
          <w:tcPr>
            <w:tcW w:w="1790" w:type="dxa"/>
            <w:vAlign w:val="center"/>
          </w:tcPr>
          <w:p>
            <w:pPr>
              <w:jc w:val="center"/>
              <w:rPr>
                <w:rFonts w:ascii="Times New Roman" w:hAnsi="Times New Roman" w:cs="Times New Roman"/>
              </w:rPr>
            </w:pPr>
            <w:r>
              <w:rPr>
                <w:rFonts w:ascii="Times New Roman" w:hAnsi="宋体" w:cs="Times New Roman"/>
                <w:sz w:val="24"/>
              </w:rPr>
              <w:t>外币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94" w:hRule="atLeast"/>
        </w:trPr>
        <w:tc>
          <w:tcPr>
            <w:tcW w:w="959" w:type="dxa"/>
            <w:vMerge w:val="continue"/>
            <w:vAlign w:val="center"/>
          </w:tcPr>
          <w:p>
            <w:pPr>
              <w:spacing w:line="320" w:lineRule="exact"/>
              <w:jc w:val="center"/>
              <w:rPr>
                <w:rFonts w:ascii="Times New Roman" w:hAnsi="Times New Roman" w:cs="Times New Roman"/>
                <w:sz w:val="24"/>
              </w:rPr>
            </w:pP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现有跨境融资余额</w:t>
            </w:r>
          </w:p>
        </w:tc>
        <w:tc>
          <w:tcPr>
            <w:tcW w:w="1729" w:type="dxa"/>
            <w:gridSpan w:val="2"/>
            <w:vAlign w:val="center"/>
          </w:tcPr>
          <w:p>
            <w:pPr>
              <w:spacing w:line="320" w:lineRule="exact"/>
              <w:jc w:val="center"/>
              <w:rPr>
                <w:rFonts w:ascii="Times New Roman" w:hAnsi="Times New Roman" w:cs="Times New Roman"/>
                <w:sz w:val="24"/>
              </w:rPr>
            </w:pPr>
            <w:r>
              <w:rPr>
                <w:rFonts w:hint="eastAsia" w:ascii="Times New Roman" w:hAnsi="Times New Roman" w:cs="Times New Roman"/>
                <w:sz w:val="24"/>
              </w:rPr>
              <w:t xml:space="preserve"> </w:t>
            </w:r>
          </w:p>
        </w:tc>
        <w:tc>
          <w:tcPr>
            <w:tcW w:w="1662"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30</w:t>
            </w:r>
          </w:p>
        </w:tc>
        <w:tc>
          <w:tcPr>
            <w:tcW w:w="1790" w:type="dxa"/>
            <w:vAlign w:val="center"/>
          </w:tcPr>
          <w:p>
            <w:pPr>
              <w:spacing w:line="320" w:lineRule="exact"/>
              <w:jc w:val="center"/>
              <w:rPr>
                <w:rFonts w:ascii="Times New Roman" w:hAnsi="Times New Roman" w:cs="Times New Roman"/>
                <w:sz w:val="24"/>
              </w:rPr>
            </w:pPr>
            <w:r>
              <w:rPr>
                <w:rFonts w:ascii="Times New Roman" w:hAnsi="Times New Roman" w:cs="Times New Roman"/>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61" w:hRule="atLeast"/>
        </w:trPr>
        <w:tc>
          <w:tcPr>
            <w:tcW w:w="959" w:type="dxa"/>
            <w:vMerge w:val="continue"/>
            <w:vAlign w:val="center"/>
          </w:tcPr>
          <w:p>
            <w:pPr>
              <w:spacing w:line="320" w:lineRule="exact"/>
              <w:jc w:val="center"/>
              <w:rPr>
                <w:rFonts w:ascii="Times New Roman" w:hAnsi="Times New Roman" w:cs="Times New Roman"/>
                <w:sz w:val="24"/>
              </w:rPr>
            </w:pP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本笔跨境融资签约额</w:t>
            </w:r>
          </w:p>
        </w:tc>
        <w:tc>
          <w:tcPr>
            <w:tcW w:w="1729" w:type="dxa"/>
            <w:gridSpan w:val="2"/>
            <w:vAlign w:val="center"/>
          </w:tcPr>
          <w:p>
            <w:pPr>
              <w:spacing w:line="320" w:lineRule="exact"/>
              <w:jc w:val="center"/>
              <w:rPr>
                <w:rFonts w:ascii="Times New Roman" w:hAnsi="Times New Roman" w:cs="Times New Roman"/>
                <w:sz w:val="24"/>
              </w:rPr>
            </w:pPr>
            <w:r>
              <w:rPr>
                <w:rFonts w:hint="eastAsia" w:ascii="Times New Roman" w:hAnsi="Times New Roman" w:cs="Times New Roman"/>
                <w:sz w:val="24"/>
              </w:rPr>
              <w:t xml:space="preserve"> </w:t>
            </w: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r>
              <w:rPr>
                <w:rFonts w:ascii="Times New Roman" w:hAnsi="Times New Roman" w:cs="Times New Roman"/>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不纳入计算的业务类型</w:t>
            </w:r>
          </w:p>
        </w:tc>
        <w:tc>
          <w:tcPr>
            <w:tcW w:w="1673" w:type="dxa"/>
            <w:tcBorders>
              <w:tl2br w:val="single" w:color="auto" w:sz="4" w:space="0"/>
            </w:tcBorders>
            <w:vAlign w:val="center"/>
          </w:tcPr>
          <w:p>
            <w:pPr>
              <w:spacing w:line="320" w:lineRule="exact"/>
              <w:jc w:val="center"/>
              <w:rPr>
                <w:rFonts w:ascii="Times New Roman" w:hAnsi="Times New Roman" w:cs="Times New Roman"/>
                <w:sz w:val="24"/>
              </w:rPr>
            </w:pPr>
          </w:p>
        </w:tc>
        <w:tc>
          <w:tcPr>
            <w:tcW w:w="1729" w:type="dxa"/>
            <w:gridSpan w:val="2"/>
            <w:vAlign w:val="center"/>
          </w:tcPr>
          <w:p>
            <w:pPr>
              <w:spacing w:line="240" w:lineRule="exact"/>
              <w:jc w:val="center"/>
              <w:rPr>
                <w:rFonts w:ascii="Times New Roman" w:hAnsi="Times New Roman" w:cs="Times New Roman"/>
                <w:sz w:val="24"/>
              </w:rPr>
            </w:pPr>
            <w:r>
              <w:rPr>
                <w:rFonts w:ascii="Times New Roman" w:hAnsi="宋体" w:cs="Times New Roman"/>
                <w:sz w:val="24"/>
              </w:rPr>
              <w:t>中长期余额</w:t>
            </w:r>
          </w:p>
        </w:tc>
        <w:tc>
          <w:tcPr>
            <w:tcW w:w="1662" w:type="dxa"/>
            <w:gridSpan w:val="3"/>
            <w:vAlign w:val="center"/>
          </w:tcPr>
          <w:p>
            <w:pPr>
              <w:spacing w:line="240" w:lineRule="exact"/>
              <w:jc w:val="center"/>
              <w:rPr>
                <w:rFonts w:ascii="Times New Roman" w:hAnsi="Times New Roman" w:cs="Times New Roman"/>
                <w:sz w:val="24"/>
              </w:rPr>
            </w:pPr>
            <w:r>
              <w:rPr>
                <w:rFonts w:ascii="Times New Roman" w:hAnsi="宋体" w:cs="Times New Roman"/>
                <w:sz w:val="24"/>
              </w:rPr>
              <w:t>短期余额</w:t>
            </w:r>
          </w:p>
        </w:tc>
        <w:tc>
          <w:tcPr>
            <w:tcW w:w="1790" w:type="dxa"/>
            <w:vAlign w:val="center"/>
          </w:tcPr>
          <w:p>
            <w:pPr>
              <w:jc w:val="center"/>
              <w:rPr>
                <w:rFonts w:ascii="Times New Roman" w:hAnsi="Times New Roman" w:cs="Times New Roman"/>
              </w:rPr>
            </w:pPr>
            <w:r>
              <w:rPr>
                <w:rFonts w:ascii="Times New Roman" w:hAnsi="宋体" w:cs="Times New Roman"/>
                <w:sz w:val="24"/>
              </w:rPr>
              <w:t>外币余额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continue"/>
            <w:vAlign w:val="center"/>
          </w:tcPr>
          <w:p>
            <w:pPr>
              <w:spacing w:line="320" w:lineRule="exact"/>
              <w:jc w:val="center"/>
              <w:rPr>
                <w:rFonts w:ascii="Times New Roman" w:hAnsi="Times New Roman" w:cs="Times New Roman"/>
                <w:sz w:val="24"/>
              </w:rPr>
            </w:pPr>
          </w:p>
        </w:tc>
        <w:tc>
          <w:tcPr>
            <w:tcW w:w="1673" w:type="dxa"/>
            <w:vAlign w:val="center"/>
          </w:tcPr>
          <w:p>
            <w:pPr>
              <w:spacing w:line="320" w:lineRule="exact"/>
              <w:jc w:val="center"/>
              <w:rPr>
                <w:rFonts w:ascii="Times New Roman" w:hAnsi="Times New Roman" w:cs="Times New Roman"/>
                <w:sz w:val="24"/>
              </w:rPr>
            </w:pPr>
            <w:r>
              <w:rPr>
                <w:rFonts w:ascii="Times New Roman" w:hAnsi="宋体" w:cs="Times New Roman"/>
                <w:sz w:val="24"/>
              </w:rPr>
              <w:t>熊猫债</w:t>
            </w:r>
          </w:p>
        </w:tc>
        <w:tc>
          <w:tcPr>
            <w:tcW w:w="1729" w:type="dxa"/>
            <w:gridSpan w:val="2"/>
            <w:vAlign w:val="center"/>
          </w:tcPr>
          <w:p>
            <w:pPr>
              <w:spacing w:line="320" w:lineRule="exact"/>
              <w:jc w:val="center"/>
              <w:rPr>
                <w:rFonts w:ascii="Times New Roman" w:hAnsi="Times New Roman" w:cs="Times New Roman"/>
                <w:sz w:val="24"/>
              </w:rPr>
            </w:pP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continue"/>
            <w:vAlign w:val="center"/>
          </w:tcPr>
          <w:p>
            <w:pPr>
              <w:spacing w:line="320" w:lineRule="exact"/>
              <w:jc w:val="center"/>
              <w:rPr>
                <w:rFonts w:ascii="Times New Roman" w:hAnsi="Times New Roman" w:cs="Times New Roman"/>
                <w:sz w:val="24"/>
              </w:rPr>
            </w:pPr>
          </w:p>
        </w:tc>
        <w:tc>
          <w:tcPr>
            <w:tcW w:w="1673" w:type="dxa"/>
            <w:vAlign w:val="center"/>
          </w:tcPr>
          <w:p>
            <w:pPr>
              <w:spacing w:line="320" w:lineRule="exact"/>
              <w:jc w:val="center"/>
              <w:rPr>
                <w:rFonts w:ascii="Times New Roman" w:hAnsi="Times New Roman" w:cs="Times New Roman"/>
                <w:sz w:val="24"/>
              </w:rPr>
            </w:pPr>
          </w:p>
        </w:tc>
        <w:tc>
          <w:tcPr>
            <w:tcW w:w="1729" w:type="dxa"/>
            <w:gridSpan w:val="2"/>
            <w:vAlign w:val="center"/>
          </w:tcPr>
          <w:p>
            <w:pPr>
              <w:spacing w:line="320" w:lineRule="exact"/>
              <w:jc w:val="center"/>
              <w:rPr>
                <w:rFonts w:ascii="Times New Roman" w:hAnsi="Times New Roman" w:cs="Times New Roman"/>
                <w:sz w:val="24"/>
              </w:rPr>
            </w:pP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continue"/>
            <w:vAlign w:val="center"/>
          </w:tcPr>
          <w:p>
            <w:pPr>
              <w:spacing w:line="320" w:lineRule="exact"/>
              <w:jc w:val="center"/>
              <w:rPr>
                <w:rFonts w:ascii="Times New Roman" w:hAnsi="Times New Roman" w:cs="Times New Roman"/>
                <w:sz w:val="24"/>
              </w:rPr>
            </w:pPr>
          </w:p>
        </w:tc>
        <w:tc>
          <w:tcPr>
            <w:tcW w:w="1673" w:type="dxa"/>
            <w:vAlign w:val="center"/>
          </w:tcPr>
          <w:p>
            <w:pPr>
              <w:spacing w:line="320" w:lineRule="exact"/>
              <w:jc w:val="center"/>
              <w:rPr>
                <w:rFonts w:ascii="Times New Roman" w:hAnsi="Times New Roman" w:cs="Times New Roman"/>
                <w:sz w:val="24"/>
              </w:rPr>
            </w:pPr>
          </w:p>
        </w:tc>
        <w:tc>
          <w:tcPr>
            <w:tcW w:w="1729" w:type="dxa"/>
            <w:gridSpan w:val="2"/>
            <w:vAlign w:val="center"/>
          </w:tcPr>
          <w:p>
            <w:pPr>
              <w:spacing w:line="320" w:lineRule="exact"/>
              <w:jc w:val="center"/>
              <w:rPr>
                <w:rFonts w:ascii="Times New Roman" w:hAnsi="Times New Roman" w:cs="Times New Roman"/>
                <w:sz w:val="24"/>
              </w:rPr>
            </w:pP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纳入计算的余额</w:t>
            </w:r>
            <w:r>
              <w:rPr>
                <w:rStyle w:val="16"/>
                <w:sz w:val="24"/>
              </w:rPr>
              <w:footnoteReference w:id="4"/>
            </w:r>
          </w:p>
        </w:tc>
        <w:tc>
          <w:tcPr>
            <w:tcW w:w="1729" w:type="dxa"/>
            <w:gridSpan w:val="2"/>
            <w:vAlign w:val="center"/>
          </w:tcPr>
          <w:p>
            <w:pPr>
              <w:spacing w:line="320" w:lineRule="exact"/>
              <w:jc w:val="center"/>
              <w:rPr>
                <w:rFonts w:ascii="Times New Roman" w:hAnsi="Times New Roman" w:cs="Times New Roman"/>
                <w:sz w:val="24"/>
              </w:rPr>
            </w:pP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Times New Roman" w:hAnsi="Times New Roman" w:cs="Times New Roman"/>
                <w:sz w:val="24"/>
              </w:rPr>
            </w:pPr>
          </w:p>
        </w:tc>
        <w:tc>
          <w:tcPr>
            <w:tcW w:w="2382"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跨境融资风险加权余额</w:t>
            </w:r>
            <w:r>
              <w:rPr>
                <w:rStyle w:val="16"/>
                <w:sz w:val="24"/>
              </w:rPr>
              <w:footnoteReference w:id="5"/>
            </w:r>
          </w:p>
        </w:tc>
        <w:tc>
          <w:tcPr>
            <w:tcW w:w="5181" w:type="dxa"/>
            <w:gridSpan w:val="6"/>
            <w:vAlign w:val="center"/>
          </w:tcPr>
          <w:p>
            <w:pPr>
              <w:spacing w:line="320" w:lineRule="exact"/>
              <w:jc w:val="center"/>
              <w:rPr>
                <w:rFonts w:ascii="Times New Roman" w:hAnsi="Times New Roman" w:cs="Times New Roman"/>
                <w:sz w:val="24"/>
              </w:rPr>
            </w:pPr>
            <w:r>
              <w:rPr>
                <w:rFonts w:hint="eastAsia" w:ascii="Times New Roman" w:hAnsi="Times New Roman" w:cs="Times New Roman"/>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341" w:type="dxa"/>
            <w:gridSpan w:val="3"/>
            <w:vAlign w:val="center"/>
          </w:tcPr>
          <w:p>
            <w:pPr>
              <w:spacing w:line="320" w:lineRule="exact"/>
              <w:jc w:val="left"/>
              <w:rPr>
                <w:rFonts w:ascii="Times New Roman" w:hAnsi="Times New Roman" w:cs="Times New Roman"/>
                <w:sz w:val="24"/>
              </w:rPr>
            </w:pPr>
            <w:r>
              <w:rPr>
                <w:rFonts w:ascii="Times New Roman" w:hAnsi="宋体" w:cs="Times New Roman"/>
                <w:sz w:val="24"/>
              </w:rPr>
              <w:t>跨境融资风险加权余额上限与跨境融资风险加权余额之差额</w:t>
            </w:r>
          </w:p>
        </w:tc>
        <w:tc>
          <w:tcPr>
            <w:tcW w:w="1729" w:type="dxa"/>
            <w:gridSpan w:val="2"/>
            <w:vAlign w:val="center"/>
          </w:tcPr>
          <w:p>
            <w:pPr>
              <w:spacing w:line="320" w:lineRule="exact"/>
              <w:ind w:firstLine="480" w:firstLineChars="200"/>
              <w:jc w:val="left"/>
              <w:rPr>
                <w:rFonts w:ascii="Times New Roman" w:hAnsi="Times New Roman" w:cs="Times New Roman"/>
                <w:sz w:val="24"/>
              </w:rPr>
            </w:pPr>
            <w:r>
              <w:rPr>
                <w:rFonts w:hint="eastAsia" w:ascii="Times New Roman" w:hAnsi="Times New Roman" w:cs="Times New Roman"/>
                <w:sz w:val="24"/>
              </w:rPr>
              <w:t xml:space="preserve"> </w:t>
            </w:r>
          </w:p>
        </w:tc>
        <w:tc>
          <w:tcPr>
            <w:tcW w:w="1639"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是否超上限</w:t>
            </w:r>
          </w:p>
        </w:tc>
        <w:tc>
          <w:tcPr>
            <w:tcW w:w="1813" w:type="dxa"/>
            <w:gridSpan w:val="2"/>
            <w:vAlign w:val="center"/>
          </w:tcPr>
          <w:p>
            <w:pPr>
              <w:spacing w:line="320" w:lineRule="exact"/>
              <w:jc w:val="left"/>
              <w:rPr>
                <w:rFonts w:ascii="Times New Roman" w:hAnsi="Times New Roman" w:cs="Times New Roman"/>
                <w:sz w:val="24"/>
              </w:rPr>
            </w:pPr>
            <w:r>
              <w:rPr>
                <w:rFonts w:ascii="Times New Roman" w:hAnsi="宋体" w:cs="Times New Roman"/>
                <w:sz w:val="24"/>
              </w:rPr>
              <w:t>是（</w:t>
            </w:r>
            <w:r>
              <w:rPr>
                <w:rFonts w:ascii="Times New Roman" w:hAnsi="Times New Roman" w:cs="Times New Roman"/>
                <w:sz w:val="24"/>
              </w:rPr>
              <w:t xml:space="preserve"> </w:t>
            </w:r>
            <w:r>
              <w:rPr>
                <w:rFonts w:ascii="Times New Roman" w:hAnsi="宋体" w:cs="Times New Roman"/>
                <w:sz w:val="24"/>
              </w:rPr>
              <w:t>）否（</w:t>
            </w:r>
            <w:r>
              <w:rPr>
                <w:rFonts w:ascii="Times New Roman" w:hAnsi="Times New Roman" w:cs="Times New Roman"/>
                <w:sz w:val="24"/>
              </w:rPr>
              <w:t>V</w:t>
            </w:r>
            <w:r>
              <w:rPr>
                <w:rFonts w:ascii="Times New Roman" w:hAnsi="宋体"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8522" w:type="dxa"/>
            <w:gridSpan w:val="9"/>
            <w:vAlign w:val="center"/>
          </w:tcPr>
          <w:p>
            <w:pPr>
              <w:spacing w:line="320" w:lineRule="exact"/>
              <w:ind w:firstLine="480" w:firstLineChars="200"/>
              <w:jc w:val="left"/>
              <w:rPr>
                <w:rFonts w:ascii="Times New Roman" w:hAnsi="Times New Roman" w:cs="Times New Roman"/>
                <w:sz w:val="24"/>
              </w:rPr>
            </w:pPr>
            <w:r>
              <w:rPr>
                <w:rFonts w:ascii="Times New Roman" w:hAnsi="宋体" w:cs="Times New Roman"/>
                <w:sz w:val="24"/>
              </w:rPr>
              <w:t>以上信息真实有效，本机构将严格按照相关规定认真履行相关职责，并及时准确地报送相关信息。</w:t>
            </w:r>
            <w:r>
              <w:rPr>
                <w:rFonts w:ascii="Times New Roman" w:hAnsi="Times New Roman" w:cs="Times New Roman"/>
                <w:sz w:val="24"/>
              </w:rPr>
              <w:t xml:space="preserve">                                </w:t>
            </w:r>
          </w:p>
          <w:p>
            <w:pPr>
              <w:spacing w:line="320" w:lineRule="exact"/>
              <w:ind w:firstLine="480" w:firstLineChars="200"/>
              <w:jc w:val="center"/>
              <w:rPr>
                <w:rFonts w:ascii="Times New Roman" w:hAnsi="Times New Roman" w:cs="Times New Roman"/>
                <w:sz w:val="24"/>
              </w:rPr>
            </w:pPr>
            <w:r>
              <w:rPr>
                <w:rFonts w:ascii="Times New Roman" w:hAnsi="宋体" w:cs="Times New Roman"/>
                <w:sz w:val="24"/>
              </w:rPr>
              <w:t>（公章）</w:t>
            </w:r>
            <w:r>
              <w:rPr>
                <w:rFonts w:hint="eastAsia" w:ascii="Times New Roman" w:hAnsi="Times New Roman" w:cs="Times New Roman"/>
                <w:sz w:val="24"/>
              </w:rPr>
              <w:t xml:space="preserve">   </w:t>
            </w:r>
            <w:r>
              <w:rPr>
                <w:rFonts w:ascii="Times New Roman" w:hAnsi="Times New Roman" w:cs="Times New Roman"/>
                <w:sz w:val="24"/>
              </w:rPr>
              <w:t xml:space="preserve">       </w:t>
            </w:r>
          </w:p>
        </w:tc>
      </w:tr>
    </w:tbl>
    <w:p>
      <w:pPr>
        <w:widowControl/>
        <w:spacing w:line="384" w:lineRule="auto"/>
        <w:rPr>
          <w:rFonts w:ascii="Times New Roman" w:hAnsi="Times New Roman" w:eastAsia="黑体" w:cs="Times New Roman"/>
          <w:bCs/>
          <w:kern w:val="0"/>
          <w:sz w:val="30"/>
          <w:szCs w:val="30"/>
        </w:rPr>
      </w:pPr>
      <w:r>
        <w:rPr>
          <w:rFonts w:ascii="Times New Roman" w:hAnsi="宋体" w:cs="Times New Roman"/>
          <w:sz w:val="24"/>
        </w:rPr>
        <w:t>联系人：</w:t>
      </w:r>
      <w:r>
        <w:rPr>
          <w:rFonts w:ascii="Times New Roman" w:hAnsi="Times New Roman" w:cs="Times New Roman"/>
          <w:sz w:val="24"/>
        </w:rPr>
        <w:t xml:space="preserve">             </w:t>
      </w:r>
      <w:r>
        <w:rPr>
          <w:rFonts w:ascii="Times New Roman" w:hAnsi="宋体" w:cs="Times New Roman"/>
          <w:sz w:val="24"/>
        </w:rPr>
        <w:t>联系电话：</w:t>
      </w:r>
      <w:bookmarkEnd w:id="4"/>
      <w:r>
        <w:rPr>
          <w:rFonts w:hint="eastAsia" w:ascii="Times New Roman" w:hAnsi="宋体" w:cs="Times New Roman"/>
          <w:sz w:val="24"/>
          <w:lang w:val="en-US" w:eastAsia="zh-CN"/>
        </w:rPr>
        <w:t xml:space="preserve">                填表时间：   </w:t>
      </w:r>
      <w:r>
        <w:rPr>
          <w:rFonts w:hint="eastAsia" w:ascii="Times New Roman" w:hAnsi="Times New Roman" w:cs="Times New Roman"/>
          <w:sz w:val="24"/>
        </w:rPr>
        <w:t>年  月  日</w:t>
      </w:r>
      <w:r>
        <w:rPr>
          <w:rFonts w:ascii="Times New Roman" w:hAnsi="Times New Roman" w:cs="Times New Roman"/>
          <w:sz w:val="24"/>
        </w:rPr>
        <w:t xml:space="preserve">    </w:t>
      </w:r>
    </w:p>
    <w:p>
      <w:pPr>
        <w:widowControl/>
        <w:spacing w:line="384" w:lineRule="auto"/>
        <w:rPr>
          <w:rFonts w:ascii="Times New Roman" w:hAnsi="Times New Roman" w:eastAsia="仿宋_GB2312" w:cs="Times New Roman"/>
          <w:kern w:val="0"/>
          <w:sz w:val="30"/>
          <w:szCs w:val="30"/>
        </w:rPr>
      </w:pPr>
    </w:p>
    <w:p>
      <w:pPr>
        <w:widowControl/>
        <w:spacing w:line="384" w:lineRule="auto"/>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 xml:space="preserve">附录三                   </w:t>
      </w:r>
    </w:p>
    <w:p>
      <w:pPr>
        <w:ind w:right="300"/>
        <w:rPr>
          <w:rFonts w:ascii="Times New Roman" w:hAnsi="Times New Roman" w:eastAsia="黑体" w:cs="Times New Roman"/>
          <w:sz w:val="30"/>
          <w:szCs w:val="30"/>
        </w:rPr>
      </w:pPr>
      <w:r>
        <w:rPr>
          <w:rFonts w:ascii="Times New Roman" w:hAnsi="黑体" w:eastAsia="黑体" w:cs="Times New Roman"/>
          <w:bCs/>
          <w:sz w:val="30"/>
          <w:szCs w:val="30"/>
        </w:rPr>
        <w:t>宏观审慎跨境融资风险加权余额情况表（企业版）</w:t>
      </w:r>
      <w:r>
        <w:rPr>
          <w:rFonts w:ascii="Times New Roman" w:hAnsi="黑体" w:eastAsia="黑体" w:cs="Times New Roman"/>
          <w:sz w:val="30"/>
          <w:szCs w:val="30"/>
        </w:rPr>
        <w:t>错误示例</w:t>
      </w:r>
    </w:p>
    <w:p>
      <w:pPr>
        <w:ind w:firstLine="1260" w:firstLineChars="600"/>
        <w:rPr>
          <w:rFonts w:ascii="Times New Roman" w:hAnsi="Times New Roman" w:cs="Times New Roman"/>
        </w:rPr>
      </w:pPr>
      <w:r>
        <w:rPr>
          <w:rFonts w:hint="eastAsia" w:ascii="Times New Roman" w:cs="Times New Roman"/>
        </w:rPr>
        <w:t xml:space="preserve">                                           </w:t>
      </w:r>
      <w:r>
        <w:rPr>
          <w:rFonts w:ascii="Times New Roman" w:cs="Times New Roman"/>
        </w:rPr>
        <w:t>单位</w:t>
      </w:r>
      <w:r>
        <w:rPr>
          <w:rStyle w:val="16"/>
        </w:rPr>
        <w:footnoteReference w:id="6"/>
      </w:r>
      <w:r>
        <w:rPr>
          <w:rFonts w:ascii="Times New Roman" w:cs="Times New Roman"/>
        </w:rPr>
        <w:t>：万元人民币</w:t>
      </w:r>
    </w:p>
    <w:tbl>
      <w:tblPr>
        <w:tblStyle w:val="13"/>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709"/>
        <w:gridCol w:w="1712"/>
        <w:gridCol w:w="1422"/>
        <w:gridCol w:w="207"/>
        <w:gridCol w:w="61"/>
        <w:gridCol w:w="1592"/>
        <w:gridCol w:w="47"/>
        <w:gridCol w:w="23"/>
        <w:gridCol w:w="17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41" w:hRule="atLeast"/>
        </w:trPr>
        <w:tc>
          <w:tcPr>
            <w:tcW w:w="95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基本信息</w:t>
            </w: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债务人名称</w:t>
            </w:r>
          </w:p>
        </w:tc>
        <w:tc>
          <w:tcPr>
            <w:tcW w:w="5142" w:type="dxa"/>
            <w:gridSpan w:val="7"/>
            <w:vAlign w:val="center"/>
          </w:tcPr>
          <w:p>
            <w:pPr>
              <w:spacing w:line="320" w:lineRule="exact"/>
              <w:jc w:val="center"/>
              <w:rPr>
                <w:rFonts w:ascii="Times New Roman" w:hAnsi="Times New Roman" w:cs="Times New Roman"/>
                <w:sz w:val="24"/>
              </w:rPr>
            </w:pPr>
            <w:r>
              <w:rPr>
                <w:rFonts w:ascii="Times New Roman" w:hAnsi="Times New Roman" w:cs="Times New Roman"/>
                <w:sz w:val="24"/>
              </w:rPr>
              <w:t>XXXX</w:t>
            </w:r>
            <w:r>
              <w:rPr>
                <w:rFonts w:ascii="Times New Roman" w:hAnsi="宋体" w:cs="Times New Roman"/>
                <w:sz w:val="24"/>
              </w:rPr>
              <w:t>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56" w:hRule="atLeast"/>
        </w:trPr>
        <w:tc>
          <w:tcPr>
            <w:tcW w:w="959" w:type="dxa"/>
            <w:vMerge w:val="continue"/>
            <w:vAlign w:val="center"/>
          </w:tcPr>
          <w:p>
            <w:pPr>
              <w:spacing w:line="320" w:lineRule="exact"/>
              <w:jc w:val="center"/>
              <w:rPr>
                <w:rFonts w:ascii="Times New Roman" w:hAnsi="Times New Roman" w:cs="Times New Roman"/>
                <w:sz w:val="24"/>
              </w:rPr>
            </w:pP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统一社会信用代码</w:t>
            </w:r>
          </w:p>
        </w:tc>
        <w:tc>
          <w:tcPr>
            <w:tcW w:w="1422" w:type="dxa"/>
            <w:vAlign w:val="center"/>
          </w:tcPr>
          <w:p>
            <w:pPr>
              <w:spacing w:line="320" w:lineRule="exact"/>
              <w:jc w:val="center"/>
              <w:rPr>
                <w:rFonts w:ascii="Times New Roman" w:hAnsi="Times New Roman" w:cs="Times New Roman"/>
                <w:sz w:val="24"/>
              </w:rPr>
            </w:pPr>
            <w:r>
              <w:rPr>
                <w:rFonts w:ascii="Times New Roman" w:hAnsi="Times New Roman" w:cs="Times New Roman"/>
                <w:sz w:val="24"/>
              </w:rPr>
              <w:t>123456789</w:t>
            </w:r>
          </w:p>
        </w:tc>
        <w:tc>
          <w:tcPr>
            <w:tcW w:w="1860" w:type="dxa"/>
            <w:gridSpan w:val="3"/>
            <w:vAlign w:val="center"/>
          </w:tcPr>
          <w:p>
            <w:pPr>
              <w:spacing w:line="320" w:lineRule="exact"/>
              <w:jc w:val="center"/>
              <w:rPr>
                <w:rFonts w:ascii="Times New Roman" w:hAnsi="Times New Roman" w:cs="Times New Roman"/>
                <w:sz w:val="24"/>
              </w:rPr>
            </w:pPr>
            <w:r>
              <w:rPr>
                <w:rFonts w:ascii="Times New Roman" w:hAnsi="宋体" w:cs="Times New Roman"/>
                <w:sz w:val="24"/>
              </w:rPr>
              <w:t>债务人类型</w:t>
            </w:r>
            <w:r>
              <w:rPr>
                <w:rStyle w:val="16"/>
                <w:sz w:val="24"/>
              </w:rPr>
              <w:footnoteReference w:id="7"/>
            </w:r>
          </w:p>
        </w:tc>
        <w:tc>
          <w:tcPr>
            <w:tcW w:w="1860"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pict>
                <v:shape id="椭圆 94" o:spid="_x0000_s2084" o:spt="3" type="#_x0000_t3" style="position:absolute;left:0pt;margin-left:8.9pt;margin-top:-1.5pt;height:28.8pt;width:63.95pt;z-index:251661312;mso-width-relative:page;mso-height-relative:page;" fillcolor="#9CBEE0" filled="f" stroked="t" coordsize="21600,21600">
                  <v:path/>
                  <v:fill on="f" color2="#BBD5F0" focussize="0,0"/>
                  <v:stroke weight="1.25pt" color="#FF0000"/>
                  <v:imagedata o:title=""/>
                  <o:lock v:ext="edit"/>
                </v:shape>
              </w:pict>
            </w:r>
            <w:r>
              <w:rPr>
                <w:rFonts w:ascii="Times New Roman" w:hAnsi="宋体" w:cs="Times New Roman"/>
                <w:sz w:val="24"/>
              </w:rPr>
              <w:t>股份公司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87" w:hRule="atLeast"/>
        </w:trPr>
        <w:tc>
          <w:tcPr>
            <w:tcW w:w="95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跨境融资风险加权余额上限</w:t>
            </w: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净资产</w:t>
            </w:r>
            <w:r>
              <w:rPr>
                <w:rStyle w:val="16"/>
                <w:sz w:val="24"/>
              </w:rPr>
              <w:footnoteReference w:id="8"/>
            </w:r>
          </w:p>
        </w:tc>
        <w:tc>
          <w:tcPr>
            <w:tcW w:w="5142" w:type="dxa"/>
            <w:gridSpan w:val="7"/>
            <w:vAlign w:val="center"/>
          </w:tcPr>
          <w:p>
            <w:pPr>
              <w:spacing w:line="320" w:lineRule="exact"/>
              <w:jc w:val="center"/>
              <w:rPr>
                <w:rFonts w:ascii="Times New Roman" w:hAnsi="Times New Roman" w:cs="Times New Roman"/>
                <w:sz w:val="24"/>
              </w:rPr>
            </w:pPr>
            <w:r>
              <w:rPr>
                <w:rFonts w:ascii="Times New Roman" w:hAnsi="Times New Roman" w:cs="Times New Roman"/>
                <w:sz w:val="24"/>
              </w:rPr>
              <w:t>240.51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89" w:hRule="atLeast"/>
        </w:trPr>
        <w:tc>
          <w:tcPr>
            <w:tcW w:w="959" w:type="dxa"/>
            <w:vMerge w:val="continue"/>
            <w:vAlign w:val="center"/>
          </w:tcPr>
          <w:p>
            <w:pPr>
              <w:spacing w:line="320" w:lineRule="exact"/>
              <w:jc w:val="center"/>
              <w:rPr>
                <w:rFonts w:ascii="Times New Roman" w:hAnsi="Times New Roman" w:cs="Times New Roman"/>
                <w:sz w:val="24"/>
              </w:rPr>
            </w:pP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风险加权余额</w:t>
            </w:r>
          </w:p>
          <w:p>
            <w:pPr>
              <w:spacing w:line="320" w:lineRule="exact"/>
              <w:jc w:val="center"/>
              <w:rPr>
                <w:rFonts w:ascii="Times New Roman" w:hAnsi="Times New Roman" w:cs="Times New Roman"/>
                <w:sz w:val="24"/>
              </w:rPr>
            </w:pPr>
            <w:r>
              <w:rPr>
                <w:rFonts w:ascii="Times New Roman" w:hAnsi="宋体" w:cs="Times New Roman"/>
                <w:sz w:val="24"/>
              </w:rPr>
              <w:t>上限</w:t>
            </w:r>
            <w:r>
              <w:rPr>
                <w:rStyle w:val="16"/>
                <w:sz w:val="24"/>
              </w:rPr>
              <w:footnoteReference w:id="9"/>
            </w:r>
          </w:p>
        </w:tc>
        <w:tc>
          <w:tcPr>
            <w:tcW w:w="5142" w:type="dxa"/>
            <w:gridSpan w:val="7"/>
            <w:vAlign w:val="center"/>
          </w:tcPr>
          <w:p>
            <w:pPr>
              <w:spacing w:line="320" w:lineRule="exact"/>
              <w:jc w:val="center"/>
              <w:rPr>
                <w:rFonts w:ascii="Times New Roman" w:hAnsi="Times New Roman" w:cs="Times New Roman"/>
                <w:sz w:val="24"/>
              </w:rPr>
            </w:pPr>
            <w:r>
              <w:rPr>
                <w:rFonts w:ascii="Times New Roman" w:hAnsi="Times New Roman" w:cs="Times New Roman"/>
                <w:sz w:val="24"/>
              </w:rPr>
              <w:pict>
                <v:shape id="线形标注 3 95" o:spid="_x0000_s2085" o:spt="48" type="#_x0000_t48" style="position:absolute;left:0pt;margin-left:254.25pt;margin-top:-8.05pt;height:38.65pt;width:67.95pt;z-index:251662336;mso-width-relative:page;mso-height-relative:page;" fillcolor="#9CBEE0" filled="f" stroked="t" coordsize="21600,21600" adj="-5404,-22662,-3656,5030,-1907,5030,1605">
                  <v:path arrowok="t"/>
                  <v:fill on="f" color2="#BBD5F0" focussize="0,0"/>
                  <v:stroke weight="1.25pt" color="#3366FF" joinstyle="miter"/>
                  <v:imagedata o:title=""/>
                  <o:lock v:ext="edit"/>
                  <v:textbox>
                    <w:txbxContent>
                      <w:p>
                        <w:pPr>
                          <w:snapToGrid w:val="0"/>
                          <w:rPr>
                            <w:sz w:val="15"/>
                            <w:szCs w:val="13"/>
                          </w:rPr>
                        </w:pPr>
                        <w:r>
                          <w:rPr>
                            <w:rFonts w:hint="eastAsia"/>
                            <w:sz w:val="15"/>
                            <w:szCs w:val="13"/>
                          </w:rPr>
                          <w:t>此处应填写中资企业或外资企业</w:t>
                        </w:r>
                      </w:p>
                    </w:txbxContent>
                  </v:textbox>
                </v:shape>
              </w:pict>
            </w:r>
            <w:r>
              <w:rPr>
                <w:rFonts w:hint="eastAsia" w:ascii="Times New Roman" w:hAnsi="Times New Roman" w:cs="Times New Roman"/>
                <w:sz w:val="24"/>
              </w:rPr>
              <w:t>601.28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75" w:hRule="atLeast"/>
        </w:trPr>
        <w:tc>
          <w:tcPr>
            <w:tcW w:w="95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跨境融资风险加权余额</w:t>
            </w:r>
          </w:p>
        </w:tc>
        <w:tc>
          <w:tcPr>
            <w:tcW w:w="2421" w:type="dxa"/>
            <w:gridSpan w:val="2"/>
            <w:tcBorders>
              <w:tl2br w:val="single" w:color="auto" w:sz="4" w:space="0"/>
            </w:tcBorders>
            <w:vAlign w:val="center"/>
          </w:tcPr>
          <w:p>
            <w:pPr>
              <w:spacing w:line="320" w:lineRule="exact"/>
              <w:jc w:val="center"/>
              <w:rPr>
                <w:rFonts w:ascii="Times New Roman" w:hAnsi="Times New Roman" w:cs="Times New Roman"/>
                <w:sz w:val="24"/>
              </w:rPr>
            </w:pPr>
          </w:p>
        </w:tc>
        <w:tc>
          <w:tcPr>
            <w:tcW w:w="1690" w:type="dxa"/>
            <w:gridSpan w:val="3"/>
            <w:vAlign w:val="center"/>
          </w:tcPr>
          <w:p>
            <w:pPr>
              <w:spacing w:line="240" w:lineRule="exact"/>
              <w:jc w:val="center"/>
              <w:rPr>
                <w:rFonts w:ascii="Times New Roman" w:hAnsi="Times New Roman" w:cs="Times New Roman"/>
                <w:sz w:val="24"/>
              </w:rPr>
            </w:pPr>
            <w:r>
              <w:rPr>
                <w:rFonts w:ascii="Times New Roman" w:hAnsi="宋体" w:cs="Times New Roman"/>
                <w:sz w:val="24"/>
              </w:rPr>
              <w:t>中长期</w:t>
            </w:r>
          </w:p>
        </w:tc>
        <w:tc>
          <w:tcPr>
            <w:tcW w:w="1662" w:type="dxa"/>
            <w:gridSpan w:val="3"/>
            <w:vAlign w:val="center"/>
          </w:tcPr>
          <w:p>
            <w:pPr>
              <w:spacing w:line="240" w:lineRule="exact"/>
              <w:jc w:val="center"/>
              <w:rPr>
                <w:rFonts w:ascii="Times New Roman" w:hAnsi="Times New Roman" w:cs="Times New Roman"/>
                <w:sz w:val="24"/>
              </w:rPr>
            </w:pPr>
            <w:r>
              <w:rPr>
                <w:rFonts w:ascii="Times New Roman" w:hAnsi="宋体" w:cs="Times New Roman"/>
                <w:sz w:val="24"/>
              </w:rPr>
              <w:t>短期</w:t>
            </w:r>
          </w:p>
        </w:tc>
        <w:tc>
          <w:tcPr>
            <w:tcW w:w="1790" w:type="dxa"/>
            <w:vAlign w:val="center"/>
          </w:tcPr>
          <w:p>
            <w:pPr>
              <w:jc w:val="center"/>
              <w:rPr>
                <w:rFonts w:ascii="Times New Roman" w:hAnsi="Times New Roman" w:cs="Times New Roman"/>
              </w:rPr>
            </w:pPr>
            <w:r>
              <w:rPr>
                <w:rFonts w:ascii="Times New Roman" w:hAnsi="宋体" w:cs="Times New Roman"/>
                <w:sz w:val="24"/>
              </w:rPr>
              <w:t>外币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61" w:hRule="atLeast"/>
        </w:trPr>
        <w:tc>
          <w:tcPr>
            <w:tcW w:w="959" w:type="dxa"/>
            <w:vMerge w:val="continue"/>
            <w:vAlign w:val="center"/>
          </w:tcPr>
          <w:p>
            <w:pPr>
              <w:spacing w:line="320" w:lineRule="exact"/>
              <w:jc w:val="center"/>
              <w:rPr>
                <w:rFonts w:ascii="Times New Roman" w:hAnsi="Times New Roman" w:cs="Times New Roman"/>
                <w:sz w:val="24"/>
              </w:rPr>
            </w:pP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现有跨境融资余额</w:t>
            </w:r>
          </w:p>
        </w:tc>
        <w:tc>
          <w:tcPr>
            <w:tcW w:w="1690"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20</w:t>
            </w:r>
          </w:p>
        </w:tc>
        <w:tc>
          <w:tcPr>
            <w:tcW w:w="1662"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30</w:t>
            </w:r>
          </w:p>
        </w:tc>
        <w:tc>
          <w:tcPr>
            <w:tcW w:w="1790" w:type="dxa"/>
            <w:vAlign w:val="center"/>
          </w:tcPr>
          <w:p>
            <w:pPr>
              <w:spacing w:line="320" w:lineRule="exact"/>
              <w:jc w:val="center"/>
              <w:rPr>
                <w:rFonts w:ascii="Times New Roman" w:hAnsi="Times New Roman" w:cs="Times New Roman"/>
                <w:sz w:val="24"/>
              </w:rPr>
            </w:pPr>
            <w:r>
              <w:rPr>
                <w:rFonts w:ascii="Times New Roman" w:hAnsi="Times New Roman" w:cs="Times New Roman"/>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05" w:hRule="atLeast"/>
        </w:trPr>
        <w:tc>
          <w:tcPr>
            <w:tcW w:w="959" w:type="dxa"/>
            <w:vMerge w:val="continue"/>
            <w:vAlign w:val="center"/>
          </w:tcPr>
          <w:p>
            <w:pPr>
              <w:spacing w:line="320" w:lineRule="exact"/>
              <w:jc w:val="center"/>
              <w:rPr>
                <w:rFonts w:ascii="Times New Roman" w:hAnsi="Times New Roman" w:cs="Times New Roman"/>
                <w:sz w:val="24"/>
              </w:rPr>
            </w:pP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本笔跨境融资签约额</w:t>
            </w:r>
          </w:p>
        </w:tc>
        <w:tc>
          <w:tcPr>
            <w:tcW w:w="1690"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10</w:t>
            </w: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r>
              <w:rPr>
                <w:rFonts w:ascii="Times New Roman" w:hAnsi="Times New Roman" w:cs="Times New Roman"/>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84"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restart"/>
            <w:vAlign w:val="center"/>
          </w:tcPr>
          <w:p>
            <w:pPr>
              <w:spacing w:line="320" w:lineRule="exact"/>
              <w:jc w:val="center"/>
              <w:rPr>
                <w:rFonts w:ascii="Times New Roman" w:hAnsi="Times New Roman" w:cs="Times New Roman"/>
                <w:sz w:val="24"/>
              </w:rPr>
            </w:pPr>
            <w:r>
              <w:rPr>
                <w:rFonts w:ascii="Times New Roman" w:hAnsi="宋体" w:cs="Times New Roman"/>
                <w:sz w:val="24"/>
              </w:rPr>
              <w:t>不纳入计算的业务类型</w:t>
            </w:r>
          </w:p>
        </w:tc>
        <w:tc>
          <w:tcPr>
            <w:tcW w:w="1712" w:type="dxa"/>
            <w:tcBorders>
              <w:tl2br w:val="single" w:color="auto" w:sz="4" w:space="0"/>
            </w:tcBorders>
            <w:vAlign w:val="center"/>
          </w:tcPr>
          <w:p>
            <w:pPr>
              <w:spacing w:line="320" w:lineRule="exact"/>
              <w:jc w:val="center"/>
              <w:rPr>
                <w:rFonts w:ascii="Times New Roman" w:hAnsi="Times New Roman" w:cs="Times New Roman"/>
                <w:sz w:val="24"/>
              </w:rPr>
            </w:pPr>
          </w:p>
        </w:tc>
        <w:tc>
          <w:tcPr>
            <w:tcW w:w="1690" w:type="dxa"/>
            <w:gridSpan w:val="3"/>
            <w:vAlign w:val="center"/>
          </w:tcPr>
          <w:p>
            <w:pPr>
              <w:spacing w:line="240" w:lineRule="exact"/>
              <w:jc w:val="center"/>
              <w:rPr>
                <w:rFonts w:ascii="Times New Roman" w:hAnsi="Times New Roman" w:cs="Times New Roman"/>
                <w:sz w:val="24"/>
              </w:rPr>
            </w:pPr>
            <w:r>
              <w:rPr>
                <w:rFonts w:ascii="Times New Roman" w:hAnsi="宋体" w:cs="Times New Roman"/>
                <w:sz w:val="24"/>
              </w:rPr>
              <w:t>中长期余额</w:t>
            </w:r>
          </w:p>
        </w:tc>
        <w:tc>
          <w:tcPr>
            <w:tcW w:w="1662" w:type="dxa"/>
            <w:gridSpan w:val="3"/>
            <w:vAlign w:val="center"/>
          </w:tcPr>
          <w:p>
            <w:pPr>
              <w:spacing w:line="240" w:lineRule="exact"/>
              <w:jc w:val="center"/>
              <w:rPr>
                <w:rFonts w:ascii="Times New Roman" w:hAnsi="Times New Roman" w:cs="Times New Roman"/>
                <w:sz w:val="24"/>
              </w:rPr>
            </w:pPr>
            <w:r>
              <w:rPr>
                <w:rFonts w:ascii="Times New Roman" w:hAnsi="宋体" w:cs="Times New Roman"/>
                <w:sz w:val="24"/>
              </w:rPr>
              <w:t>短期余额</w:t>
            </w:r>
          </w:p>
        </w:tc>
        <w:tc>
          <w:tcPr>
            <w:tcW w:w="1790" w:type="dxa"/>
            <w:vAlign w:val="center"/>
          </w:tcPr>
          <w:p>
            <w:pPr>
              <w:jc w:val="center"/>
              <w:rPr>
                <w:rFonts w:ascii="Times New Roman" w:hAnsi="Times New Roman" w:cs="Times New Roman"/>
              </w:rPr>
            </w:pPr>
            <w:r>
              <w:rPr>
                <w:rFonts w:ascii="Times New Roman" w:hAnsi="宋体" w:cs="Times New Roman"/>
                <w:sz w:val="24"/>
              </w:rPr>
              <w:t>外币余额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11"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continue"/>
            <w:vAlign w:val="center"/>
          </w:tcPr>
          <w:p>
            <w:pPr>
              <w:spacing w:line="320" w:lineRule="exact"/>
              <w:jc w:val="center"/>
              <w:rPr>
                <w:rFonts w:ascii="Times New Roman" w:hAnsi="Times New Roman" w:cs="Times New Roman"/>
                <w:sz w:val="24"/>
              </w:rPr>
            </w:pPr>
          </w:p>
        </w:tc>
        <w:tc>
          <w:tcPr>
            <w:tcW w:w="1712" w:type="dxa"/>
            <w:vAlign w:val="center"/>
          </w:tcPr>
          <w:p>
            <w:pPr>
              <w:spacing w:line="320" w:lineRule="exact"/>
              <w:jc w:val="center"/>
              <w:rPr>
                <w:rFonts w:ascii="Times New Roman" w:hAnsi="Times New Roman" w:cs="Times New Roman"/>
                <w:sz w:val="24"/>
              </w:rPr>
            </w:pPr>
            <w:r>
              <w:rPr>
                <w:rFonts w:ascii="Times New Roman" w:hAnsi="宋体" w:cs="Times New Roman"/>
                <w:sz w:val="24"/>
              </w:rPr>
              <w:t>熊猫债</w:t>
            </w:r>
          </w:p>
        </w:tc>
        <w:tc>
          <w:tcPr>
            <w:tcW w:w="1690"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5</w:t>
            </w:r>
          </w:p>
        </w:tc>
        <w:tc>
          <w:tcPr>
            <w:tcW w:w="1662"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2</w:t>
            </w:r>
          </w:p>
        </w:tc>
        <w:tc>
          <w:tcPr>
            <w:tcW w:w="1790" w:type="dxa"/>
            <w:vAlign w:val="center"/>
          </w:tcPr>
          <w:p>
            <w:pPr>
              <w:spacing w:line="32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16"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continue"/>
            <w:vAlign w:val="center"/>
          </w:tcPr>
          <w:p>
            <w:pPr>
              <w:spacing w:line="320" w:lineRule="exact"/>
              <w:jc w:val="center"/>
              <w:rPr>
                <w:rFonts w:ascii="Times New Roman" w:hAnsi="Times New Roman" w:cs="Times New Roman"/>
                <w:sz w:val="24"/>
              </w:rPr>
            </w:pPr>
          </w:p>
        </w:tc>
        <w:tc>
          <w:tcPr>
            <w:tcW w:w="1712" w:type="dxa"/>
            <w:vAlign w:val="center"/>
          </w:tcPr>
          <w:p>
            <w:pPr>
              <w:spacing w:line="320" w:lineRule="exact"/>
              <w:jc w:val="center"/>
              <w:rPr>
                <w:rFonts w:ascii="Times New Roman" w:hAnsi="Times New Roman" w:cs="Times New Roman"/>
                <w:sz w:val="24"/>
              </w:rPr>
            </w:pPr>
          </w:p>
        </w:tc>
        <w:tc>
          <w:tcPr>
            <w:tcW w:w="1690" w:type="dxa"/>
            <w:gridSpan w:val="3"/>
            <w:vAlign w:val="center"/>
          </w:tcPr>
          <w:p>
            <w:pPr>
              <w:spacing w:line="320" w:lineRule="exact"/>
              <w:jc w:val="center"/>
              <w:rPr>
                <w:rFonts w:ascii="Times New Roman" w:hAnsi="Times New Roman" w:cs="Times New Roman"/>
                <w:sz w:val="24"/>
              </w:rPr>
            </w:pP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09" w:hRule="atLeast"/>
        </w:trPr>
        <w:tc>
          <w:tcPr>
            <w:tcW w:w="959" w:type="dxa"/>
            <w:vMerge w:val="continue"/>
            <w:vAlign w:val="center"/>
          </w:tcPr>
          <w:p>
            <w:pPr>
              <w:spacing w:line="320" w:lineRule="exact"/>
              <w:jc w:val="center"/>
              <w:rPr>
                <w:rFonts w:ascii="Times New Roman" w:hAnsi="Times New Roman" w:cs="Times New Roman"/>
                <w:sz w:val="24"/>
              </w:rPr>
            </w:pPr>
          </w:p>
        </w:tc>
        <w:tc>
          <w:tcPr>
            <w:tcW w:w="709" w:type="dxa"/>
            <w:vMerge w:val="continue"/>
            <w:vAlign w:val="center"/>
          </w:tcPr>
          <w:p>
            <w:pPr>
              <w:spacing w:line="320" w:lineRule="exact"/>
              <w:jc w:val="center"/>
              <w:rPr>
                <w:rFonts w:ascii="Times New Roman" w:hAnsi="Times New Roman" w:cs="Times New Roman"/>
                <w:sz w:val="24"/>
              </w:rPr>
            </w:pPr>
          </w:p>
        </w:tc>
        <w:tc>
          <w:tcPr>
            <w:tcW w:w="1712" w:type="dxa"/>
            <w:vAlign w:val="center"/>
          </w:tcPr>
          <w:p>
            <w:pPr>
              <w:spacing w:line="320" w:lineRule="exact"/>
              <w:jc w:val="center"/>
              <w:rPr>
                <w:rFonts w:ascii="Times New Roman" w:hAnsi="Times New Roman" w:cs="Times New Roman"/>
                <w:sz w:val="24"/>
              </w:rPr>
            </w:pPr>
          </w:p>
        </w:tc>
        <w:tc>
          <w:tcPr>
            <w:tcW w:w="1690" w:type="dxa"/>
            <w:gridSpan w:val="3"/>
            <w:vAlign w:val="center"/>
          </w:tcPr>
          <w:p>
            <w:pPr>
              <w:spacing w:line="320" w:lineRule="exact"/>
              <w:jc w:val="center"/>
              <w:rPr>
                <w:rFonts w:ascii="Times New Roman" w:hAnsi="Times New Roman" w:cs="Times New Roman"/>
                <w:sz w:val="24"/>
              </w:rPr>
            </w:pPr>
          </w:p>
        </w:tc>
        <w:tc>
          <w:tcPr>
            <w:tcW w:w="1662" w:type="dxa"/>
            <w:gridSpan w:val="3"/>
            <w:vAlign w:val="center"/>
          </w:tcPr>
          <w:p>
            <w:pPr>
              <w:spacing w:line="320" w:lineRule="exact"/>
              <w:jc w:val="center"/>
              <w:rPr>
                <w:rFonts w:ascii="Times New Roman" w:hAnsi="Times New Roman" w:cs="Times New Roman"/>
                <w:sz w:val="24"/>
              </w:rPr>
            </w:pPr>
          </w:p>
        </w:tc>
        <w:tc>
          <w:tcPr>
            <w:tcW w:w="1790" w:type="dxa"/>
            <w:vAlign w:val="center"/>
          </w:tcPr>
          <w:p>
            <w:pPr>
              <w:spacing w:line="32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8" w:hRule="atLeast"/>
        </w:trPr>
        <w:tc>
          <w:tcPr>
            <w:tcW w:w="959" w:type="dxa"/>
            <w:vMerge w:val="continue"/>
            <w:vAlign w:val="center"/>
          </w:tcPr>
          <w:p>
            <w:pPr>
              <w:spacing w:line="320" w:lineRule="exact"/>
              <w:jc w:val="center"/>
              <w:rPr>
                <w:rFonts w:ascii="Times New Roman" w:hAnsi="Times New Roman" w:cs="Times New Roman"/>
                <w:sz w:val="24"/>
              </w:rPr>
            </w:pP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纳入计算的余额</w:t>
            </w:r>
            <w:r>
              <w:rPr>
                <w:rStyle w:val="16"/>
                <w:sz w:val="24"/>
              </w:rPr>
              <w:footnoteReference w:id="10"/>
            </w:r>
          </w:p>
        </w:tc>
        <w:tc>
          <w:tcPr>
            <w:tcW w:w="1690"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25</w:t>
            </w:r>
          </w:p>
        </w:tc>
        <w:tc>
          <w:tcPr>
            <w:tcW w:w="1662" w:type="dxa"/>
            <w:gridSpan w:val="3"/>
            <w:vAlign w:val="center"/>
          </w:tcPr>
          <w:p>
            <w:pPr>
              <w:spacing w:line="320" w:lineRule="exact"/>
              <w:jc w:val="center"/>
              <w:rPr>
                <w:rFonts w:ascii="Times New Roman" w:hAnsi="Times New Roman" w:cs="Times New Roman"/>
                <w:sz w:val="24"/>
              </w:rPr>
            </w:pPr>
            <w:r>
              <w:rPr>
                <w:rFonts w:ascii="Times New Roman" w:hAnsi="Times New Roman" w:cs="Times New Roman"/>
                <w:sz w:val="24"/>
              </w:rPr>
              <w:t>28</w:t>
            </w:r>
          </w:p>
        </w:tc>
        <w:tc>
          <w:tcPr>
            <w:tcW w:w="1790" w:type="dxa"/>
            <w:vAlign w:val="center"/>
          </w:tcPr>
          <w:p>
            <w:pPr>
              <w:spacing w:line="320" w:lineRule="exact"/>
              <w:jc w:val="center"/>
              <w:rPr>
                <w:rFonts w:ascii="Times New Roman" w:hAnsi="Times New Roman" w:cs="Times New Roman"/>
                <w:sz w:val="24"/>
              </w:rPr>
            </w:pPr>
            <w:r>
              <w:rPr>
                <w:rFonts w:ascii="Times New Roman" w:hAnsi="Times New Roman" w:cs="Times New Roman"/>
                <w:sz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04" w:hRule="atLeast"/>
        </w:trPr>
        <w:tc>
          <w:tcPr>
            <w:tcW w:w="959" w:type="dxa"/>
            <w:vMerge w:val="continue"/>
            <w:vAlign w:val="center"/>
          </w:tcPr>
          <w:p>
            <w:pPr>
              <w:spacing w:line="320" w:lineRule="exact"/>
              <w:jc w:val="center"/>
              <w:rPr>
                <w:rFonts w:ascii="Times New Roman" w:hAnsi="Times New Roman" w:cs="Times New Roman"/>
                <w:sz w:val="24"/>
              </w:rPr>
            </w:pPr>
          </w:p>
        </w:tc>
        <w:tc>
          <w:tcPr>
            <w:tcW w:w="2421" w:type="dxa"/>
            <w:gridSpan w:val="2"/>
            <w:vAlign w:val="center"/>
          </w:tcPr>
          <w:p>
            <w:pPr>
              <w:spacing w:line="320" w:lineRule="exact"/>
              <w:jc w:val="center"/>
              <w:rPr>
                <w:rFonts w:ascii="Times New Roman" w:hAnsi="Times New Roman" w:cs="Times New Roman"/>
                <w:sz w:val="24"/>
              </w:rPr>
            </w:pPr>
            <w:r>
              <w:rPr>
                <w:rFonts w:ascii="Times New Roman" w:hAnsi="宋体" w:cs="Times New Roman"/>
                <w:sz w:val="24"/>
              </w:rPr>
              <w:t>跨境融资风险加权余额</w:t>
            </w:r>
            <w:r>
              <w:rPr>
                <w:rStyle w:val="16"/>
                <w:sz w:val="24"/>
              </w:rPr>
              <w:footnoteReference w:id="11"/>
            </w:r>
          </w:p>
        </w:tc>
        <w:tc>
          <w:tcPr>
            <w:tcW w:w="5142" w:type="dxa"/>
            <w:gridSpan w:val="7"/>
            <w:vAlign w:val="center"/>
          </w:tcPr>
          <w:p>
            <w:pPr>
              <w:spacing w:line="320" w:lineRule="exact"/>
              <w:jc w:val="center"/>
              <w:rPr>
                <w:rFonts w:ascii="Times New Roman" w:hAnsi="Times New Roman" w:cs="Times New Roman"/>
                <w:sz w:val="24"/>
              </w:rPr>
            </w:pPr>
            <w:r>
              <w:rPr>
                <w:rFonts w:ascii="Times New Roman" w:hAnsi="Times New Roman" w:cs="Times New Roman"/>
                <w:sz w:val="24"/>
              </w:rPr>
              <w:t>79.5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0" w:hRule="atLeast"/>
        </w:trPr>
        <w:tc>
          <w:tcPr>
            <w:tcW w:w="3380" w:type="dxa"/>
            <w:gridSpan w:val="3"/>
            <w:vAlign w:val="center"/>
          </w:tcPr>
          <w:p>
            <w:pPr>
              <w:spacing w:line="320" w:lineRule="exact"/>
              <w:jc w:val="left"/>
              <w:rPr>
                <w:rFonts w:ascii="Times New Roman" w:hAnsi="Times New Roman" w:cs="Times New Roman"/>
                <w:sz w:val="24"/>
              </w:rPr>
            </w:pPr>
            <w:r>
              <w:rPr>
                <w:rFonts w:ascii="Times New Roman" w:hAnsi="宋体" w:cs="Times New Roman"/>
                <w:sz w:val="24"/>
              </w:rPr>
              <w:t>跨境融资风险加权余额上限与跨境融资风险加权余额之差额</w:t>
            </w:r>
          </w:p>
        </w:tc>
        <w:tc>
          <w:tcPr>
            <w:tcW w:w="1629" w:type="dxa"/>
            <w:gridSpan w:val="2"/>
            <w:vAlign w:val="center"/>
          </w:tcPr>
          <w:p>
            <w:pPr>
              <w:spacing w:line="320" w:lineRule="exact"/>
              <w:ind w:firstLine="480" w:firstLineChars="200"/>
              <w:jc w:val="left"/>
              <w:rPr>
                <w:rFonts w:ascii="Times New Roman" w:hAnsi="Times New Roman" w:cs="Times New Roman"/>
                <w:sz w:val="24"/>
              </w:rPr>
            </w:pPr>
            <w:r>
              <w:rPr>
                <w:rFonts w:hint="eastAsia" w:ascii="Times New Roman" w:hAnsi="Times New Roman" w:cs="Times New Roman"/>
                <w:sz w:val="24"/>
              </w:rPr>
              <w:t>521.78</w:t>
            </w:r>
          </w:p>
        </w:tc>
        <w:tc>
          <w:tcPr>
            <w:tcW w:w="1700" w:type="dxa"/>
            <w:gridSpan w:val="3"/>
          </w:tcPr>
          <w:p>
            <w:pPr>
              <w:spacing w:line="320" w:lineRule="exact"/>
              <w:rPr>
                <w:rFonts w:ascii="Times New Roman" w:hAnsi="Times New Roman" w:cs="Times New Roman"/>
                <w:sz w:val="24"/>
              </w:rPr>
            </w:pPr>
            <w:r>
              <w:rPr>
                <w:rFonts w:ascii="Times New Roman" w:hAnsi="宋体" w:cs="Times New Roman"/>
                <w:sz w:val="24"/>
              </w:rPr>
              <w:t>是否超上限</w:t>
            </w:r>
          </w:p>
        </w:tc>
        <w:tc>
          <w:tcPr>
            <w:tcW w:w="1813" w:type="dxa"/>
            <w:gridSpan w:val="2"/>
            <w:vAlign w:val="center"/>
          </w:tcPr>
          <w:p>
            <w:pPr>
              <w:spacing w:line="320" w:lineRule="exact"/>
              <w:jc w:val="left"/>
              <w:rPr>
                <w:rFonts w:ascii="Times New Roman" w:hAnsi="Times New Roman" w:cs="Times New Roman"/>
                <w:sz w:val="24"/>
              </w:rPr>
            </w:pPr>
            <w:r>
              <w:rPr>
                <w:rFonts w:ascii="Times New Roman" w:hAnsi="宋体" w:cs="Times New Roman"/>
                <w:sz w:val="24"/>
              </w:rPr>
              <w:t>是（</w:t>
            </w:r>
            <w:r>
              <w:rPr>
                <w:rFonts w:ascii="Times New Roman" w:hAnsi="Times New Roman" w:cs="Times New Roman"/>
                <w:sz w:val="24"/>
              </w:rPr>
              <w:t xml:space="preserve"> </w:t>
            </w:r>
            <w:r>
              <w:rPr>
                <w:rFonts w:ascii="Times New Roman" w:hAnsi="宋体" w:cs="Times New Roman"/>
                <w:sz w:val="24"/>
              </w:rPr>
              <w:t>）否（</w:t>
            </w:r>
            <w:r>
              <w:rPr>
                <w:rFonts w:ascii="Times New Roman" w:hAnsi="Times New Roman" w:cs="Times New Roman"/>
                <w:sz w:val="24"/>
              </w:rPr>
              <w:t>V</w:t>
            </w:r>
            <w:r>
              <w:rPr>
                <w:rFonts w:ascii="Times New Roman" w:hAnsi="宋体"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8" w:hRule="atLeast"/>
        </w:trPr>
        <w:tc>
          <w:tcPr>
            <w:tcW w:w="8522" w:type="dxa"/>
            <w:gridSpan w:val="10"/>
            <w:vAlign w:val="center"/>
          </w:tcPr>
          <w:p>
            <w:pPr>
              <w:spacing w:line="320" w:lineRule="exact"/>
              <w:ind w:firstLine="480" w:firstLineChars="200"/>
              <w:rPr>
                <w:rFonts w:ascii="Times New Roman" w:hAnsi="宋体" w:cs="Times New Roman"/>
                <w:sz w:val="24"/>
              </w:rPr>
            </w:pPr>
            <w:r>
              <w:rPr>
                <w:rFonts w:ascii="Times New Roman" w:hAnsi="宋体" w:cs="Times New Roman"/>
                <w:sz w:val="24"/>
              </w:rPr>
              <w:t>以上信息真实有效，本机构将严格按照相关规定认真履行相关职责，并及时准确地报送相关信息。</w:t>
            </w: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 xml:space="preserve">      </w:t>
            </w:r>
            <w:r>
              <w:rPr>
                <w:rFonts w:ascii="Times New Roman" w:hAnsi="宋体" w:cs="Times New Roman"/>
                <w:sz w:val="24"/>
              </w:rPr>
              <w:t>（公章）</w:t>
            </w:r>
          </w:p>
          <w:p>
            <w:pPr>
              <w:spacing w:line="320" w:lineRule="exact"/>
              <w:ind w:firstLine="480" w:firstLineChars="200"/>
              <w:jc w:val="center"/>
              <w:rPr>
                <w:rFonts w:ascii="Times New Roman" w:hAnsi="Times New Roman" w:cs="Times New Roman"/>
                <w:sz w:val="24"/>
              </w:rPr>
            </w:pPr>
            <w:r>
              <w:rPr>
                <w:rFonts w:hint="eastAsia" w:ascii="Times New Roman" w:hAnsi="宋体" w:cs="Times New Roman"/>
                <w:sz w:val="24"/>
              </w:rPr>
              <w:t xml:space="preserve">                                           </w:t>
            </w:r>
          </w:p>
        </w:tc>
      </w:tr>
    </w:tbl>
    <w:p>
      <w:pPr>
        <w:widowControl/>
        <w:spacing w:line="384" w:lineRule="auto"/>
        <w:rPr>
          <w:rFonts w:ascii="Times New Roman" w:hAnsi="Times New Roman" w:eastAsia="仿宋_GB2312" w:cs="Times New Roman"/>
          <w:kern w:val="0"/>
          <w:sz w:val="30"/>
          <w:szCs w:val="30"/>
        </w:rPr>
      </w:pPr>
      <w:r>
        <w:rPr>
          <w:rFonts w:ascii="Times New Roman" w:hAnsi="宋体" w:cs="Times New Roman"/>
          <w:sz w:val="24"/>
        </w:rPr>
        <w:t>联系人：</w:t>
      </w:r>
      <w:r>
        <w:rPr>
          <w:rFonts w:ascii="Times New Roman" w:hAnsi="Times New Roman" w:cs="Times New Roman"/>
          <w:sz w:val="24"/>
        </w:rPr>
        <w:t xml:space="preserve">         </w:t>
      </w:r>
      <w:r>
        <w:rPr>
          <w:rFonts w:ascii="Times New Roman" w:hAnsi="宋体" w:cs="Times New Roman"/>
          <w:sz w:val="24"/>
        </w:rPr>
        <w:t>联系</w:t>
      </w:r>
      <w:r>
        <w:rPr>
          <w:rFonts w:hint="eastAsia" w:ascii="Times New Roman" w:hAnsi="宋体" w:cs="Times New Roman"/>
          <w:sz w:val="24"/>
        </w:rPr>
        <w:t xml:space="preserve">电话： </w:t>
      </w:r>
      <w:r>
        <w:rPr>
          <w:rFonts w:ascii="Times New Roman" w:hAnsi="Times New Roman" w:cs="Times New Roman"/>
          <w:sz w:val="24"/>
        </w:rPr>
        <w:t xml:space="preserve">    </w:t>
      </w:r>
      <w:r>
        <w:rPr>
          <w:rFonts w:hint="eastAsia" w:ascii="Times New Roman" w:hAnsi="Times New Roman" w:cs="Times New Roman"/>
          <w:sz w:val="24"/>
          <w:lang w:val="en-US" w:eastAsia="zh-CN"/>
        </w:rPr>
        <w:t xml:space="preserve">          填表时间： </w:t>
      </w:r>
      <w:r>
        <w:rPr>
          <w:rFonts w:hint="eastAsia" w:ascii="Times New Roman" w:hAnsi="宋体" w:cs="Times New Roman"/>
          <w:sz w:val="24"/>
        </w:rPr>
        <w:t xml:space="preserve"> 年  月  日</w:t>
      </w:r>
      <w:r>
        <w:rPr>
          <w:rFonts w:ascii="Times New Roman" w:hAnsi="Times New Roman" w:eastAsia="仿宋_GB2312" w:cs="Times New Roman"/>
          <w:kern w:val="0"/>
          <w:sz w:val="30"/>
          <w:szCs w:val="30"/>
        </w:rPr>
        <w:br w:type="page"/>
      </w:r>
      <w:r>
        <w:rPr>
          <w:rFonts w:ascii="Times New Roman" w:hAnsi="Times New Roman" w:eastAsia="仿宋_GB2312" w:cs="Times New Roman"/>
          <w:kern w:val="0"/>
          <w:sz w:val="30"/>
          <w:szCs w:val="30"/>
        </w:rPr>
        <w:t xml:space="preserve">附录四 </w:t>
      </w:r>
    </w:p>
    <w:p>
      <w:pPr>
        <w:widowControl/>
        <w:spacing w:line="384" w:lineRule="auto"/>
        <w:rPr>
          <w:rFonts w:ascii="Times New Roman" w:hAnsi="Times New Roman" w:eastAsia="仿宋_GB2312" w:cs="Times New Roman"/>
          <w:kern w:val="0"/>
          <w:sz w:val="30"/>
          <w:szCs w:val="30"/>
        </w:rPr>
      </w:pPr>
    </w:p>
    <w:p>
      <w:pPr>
        <w:ind w:firstLine="720" w:firstLineChars="200"/>
        <w:rPr>
          <w:rFonts w:ascii="Times New Roman" w:hAnsi="Times New Roman" w:eastAsia="黑体" w:cs="Times New Roman"/>
          <w:sz w:val="36"/>
          <w:szCs w:val="36"/>
        </w:rPr>
      </w:pPr>
      <w:r>
        <w:rPr>
          <w:rFonts w:ascii="Times New Roman" w:hAnsi="Times New Roman" w:eastAsia="黑体" w:cs="Times New Roman"/>
          <w:sz w:val="36"/>
          <w:szCs w:val="36"/>
        </w:rPr>
        <w:t>跨国公司跨境资金集中运营业务办理确认书</w:t>
      </w: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本单位已知晓</w:t>
      </w:r>
      <w:r>
        <w:rPr>
          <w:rFonts w:ascii="Times New Roman" w:hAnsi="Times New Roman" w:eastAsia="仿宋_GB2312" w:cs="Times New Roman"/>
          <w:sz w:val="30"/>
        </w:rPr>
        <w:t>跨国公司跨境资金集中运营管理</w:t>
      </w:r>
      <w:r>
        <w:rPr>
          <w:rFonts w:ascii="Times New Roman" w:hAnsi="Times New Roman" w:eastAsia="仿宋_GB2312" w:cs="Times New Roman"/>
          <w:sz w:val="30"/>
          <w:szCs w:val="30"/>
        </w:rPr>
        <w:t>政策及相关要求，仔细阅读本确认书告知和提示的本单位义务以及外汇局监管要求。承诺将：</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一、依法合规开展</w:t>
      </w:r>
      <w:r>
        <w:rPr>
          <w:rFonts w:ascii="Times New Roman" w:hAnsi="Times New Roman" w:eastAsia="仿宋_GB2312" w:cs="Times New Roman"/>
          <w:sz w:val="30"/>
        </w:rPr>
        <w:t>跨境资金集中运营业务</w:t>
      </w:r>
      <w:r>
        <w:rPr>
          <w:rFonts w:ascii="Times New Roman" w:hAnsi="Times New Roman" w:eastAsia="仿宋_GB2312" w:cs="Times New Roman"/>
          <w:sz w:val="30"/>
          <w:szCs w:val="30"/>
        </w:rPr>
        <w:t>。在满足下列要求前提下，享有按照政策规定的便利措施办理相关业务的权利：签署本确认书，严格按照要求办理业务，合规经营等。</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二、按外汇局政策规定及时、准确、完整地报送业务数据；不使用虚假合同或者构造交易办理业务，接受并配合外汇局对本单位的监督检查，及时、如实说明情况并提供相关单证资料。</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三、理解并接受外汇局根据国际收支形势对政策和业务进行适时调整。</w:t>
      </w:r>
      <w:r>
        <w:rPr>
          <w:rFonts w:ascii="Times New Roman" w:hAnsi="Times New Roman" w:eastAsia="黑体" w:cs="Times New Roman"/>
          <w:sz w:val="30"/>
          <w:szCs w:val="30"/>
        </w:rPr>
        <w:t>遵守外汇局关于外债和境外放款宏观审慎调节参数和杠杆率调整要求。自行承担由于外汇局调整政策以及本单位违规行为而引起的相关损失。</w:t>
      </w:r>
      <w:r>
        <w:rPr>
          <w:rFonts w:ascii="Times New Roman" w:hAnsi="Times New Roman" w:eastAsia="仿宋_GB2312" w:cs="Times New Roman"/>
          <w:sz w:val="30"/>
          <w:szCs w:val="30"/>
        </w:rPr>
        <w:t>违反政策及相关要求的，接受外汇局依法实施的包括行政处罚、暂停或终止业务、对外公布相关处罚决定等在内的处理措施。</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四、本确认书适用于</w:t>
      </w:r>
      <w:r>
        <w:rPr>
          <w:rFonts w:ascii="Times New Roman" w:hAnsi="Times New Roman" w:eastAsia="仿宋_GB2312" w:cs="Times New Roman"/>
          <w:sz w:val="30"/>
        </w:rPr>
        <w:t>跨国公司跨境资金集中运营</w:t>
      </w:r>
      <w:r>
        <w:rPr>
          <w:rFonts w:ascii="Times New Roman" w:hAnsi="Times New Roman" w:eastAsia="仿宋_GB2312" w:cs="Times New Roman"/>
          <w:sz w:val="30"/>
          <w:szCs w:val="30"/>
        </w:rPr>
        <w:t>业务；本确认书未尽事项，按照有关外汇管理法规规定执行。</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五、本确认书适用于本单位及所属成员单位，自签署时生效。本单位将认真学习并遵守相关政策及要求，积极支持配合外汇局对</w:t>
      </w:r>
      <w:r>
        <w:rPr>
          <w:rFonts w:ascii="Times New Roman" w:hAnsi="Times New Roman" w:eastAsia="仿宋_GB2312" w:cs="Times New Roman"/>
          <w:sz w:val="30"/>
        </w:rPr>
        <w:t>跨国公司跨境资金集中运营业务</w:t>
      </w:r>
      <w:r>
        <w:rPr>
          <w:rFonts w:ascii="Times New Roman" w:hAnsi="Times New Roman" w:eastAsia="仿宋_GB2312" w:cs="Times New Roman"/>
          <w:sz w:val="30"/>
          <w:szCs w:val="30"/>
        </w:rPr>
        <w:t>的管理。</w:t>
      </w: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企业（公章）：</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银行（公章）：</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法定代表人（签字）：</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负责人（签字）：</w:t>
      </w:r>
    </w:p>
    <w:p>
      <w:pPr>
        <w:ind w:firstLine="1200" w:firstLineChars="400"/>
        <w:rPr>
          <w:rFonts w:ascii="Times New Roman" w:hAnsi="Times New Roman" w:eastAsia="仿宋_GB2312" w:cs="Times New Roman"/>
          <w:sz w:val="30"/>
          <w:szCs w:val="30"/>
        </w:rPr>
      </w:pP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日</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日</w:t>
      </w: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tbl>
      <w:tblPr>
        <w:tblStyle w:val="13"/>
        <w:tblW w:w="8197" w:type="dxa"/>
        <w:tblInd w:w="2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8197" w:type="dxa"/>
          </w:tcPr>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为进一步促进贸易投资便利化，外汇局依法制定本确认书，提示企业、银行在开展</w:t>
            </w:r>
            <w:r>
              <w:rPr>
                <w:rFonts w:ascii="Times New Roman" w:hAnsi="Times New Roman" w:eastAsia="仿宋_GB2312" w:cs="Times New Roman"/>
                <w:sz w:val="30"/>
              </w:rPr>
              <w:t>跨国公司跨境资金集中运营业务</w:t>
            </w:r>
            <w:r>
              <w:rPr>
                <w:rFonts w:ascii="Times New Roman" w:hAnsi="Times New Roman" w:eastAsia="仿宋_GB2312" w:cs="Times New Roman"/>
                <w:sz w:val="30"/>
                <w:szCs w:val="30"/>
              </w:rPr>
              <w:t>中依法享有的权利和应当承担的义务。企业、银行签署本确认书并认真执行，享有按照跨境</w:t>
            </w:r>
            <w:r>
              <w:rPr>
                <w:rFonts w:ascii="Times New Roman" w:hAnsi="Times New Roman" w:eastAsia="仿宋_GB2312" w:cs="Times New Roman"/>
                <w:sz w:val="30"/>
              </w:rPr>
              <w:t>资金集中运营管理</w:t>
            </w:r>
            <w:r>
              <w:rPr>
                <w:rFonts w:ascii="Times New Roman" w:hAnsi="Times New Roman" w:eastAsia="仿宋_GB2312" w:cs="Times New Roman"/>
                <w:sz w:val="30"/>
                <w:szCs w:val="30"/>
              </w:rPr>
              <w:t>规定的便利措施办理相关业务的权利。</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外汇局根据国际收支形势等具体情况，制定、调整</w:t>
            </w:r>
            <w:r>
              <w:rPr>
                <w:rFonts w:ascii="Times New Roman" w:hAnsi="Times New Roman" w:eastAsia="仿宋_GB2312" w:cs="Times New Roman"/>
                <w:sz w:val="30"/>
              </w:rPr>
              <w:t>跨国公司跨境资金集中运营管理</w:t>
            </w:r>
            <w:r>
              <w:rPr>
                <w:rFonts w:ascii="Times New Roman" w:hAnsi="Times New Roman" w:eastAsia="仿宋_GB2312" w:cs="Times New Roman"/>
                <w:sz w:val="30"/>
                <w:szCs w:val="30"/>
              </w:rPr>
              <w:t>政策，并依法予以告知。</w:t>
            </w:r>
          </w:p>
          <w:p>
            <w:pPr>
              <w:ind w:firstLine="600" w:firstLineChars="200"/>
              <w:rPr>
                <w:rFonts w:ascii="Times New Roman" w:hAnsi="Times New Roman" w:eastAsia="仿宋_GB2312" w:cs="Times New Roman"/>
                <w:b/>
                <w:bCs/>
                <w:sz w:val="30"/>
                <w:szCs w:val="30"/>
              </w:rPr>
            </w:pPr>
            <w:r>
              <w:rPr>
                <w:rFonts w:ascii="Times New Roman" w:hAnsi="Times New Roman" w:eastAsia="仿宋_GB2312" w:cs="Times New Roman"/>
                <w:sz w:val="30"/>
                <w:szCs w:val="30"/>
              </w:rPr>
              <w:t>外汇局依法对跨国公司跨境</w:t>
            </w:r>
            <w:r>
              <w:rPr>
                <w:rFonts w:ascii="Times New Roman" w:hAnsi="Times New Roman" w:eastAsia="仿宋_GB2312" w:cs="Times New Roman"/>
                <w:sz w:val="30"/>
              </w:rPr>
              <w:t>资金集中运营业务</w:t>
            </w:r>
            <w:r>
              <w:rPr>
                <w:rFonts w:ascii="Times New Roman" w:hAnsi="Times New Roman" w:eastAsia="仿宋_GB2312" w:cs="Times New Roman"/>
                <w:sz w:val="30"/>
                <w:szCs w:val="30"/>
              </w:rPr>
              <w:t>进行监督检查。对企业、银行违规行为，按照《中华人民共和国外汇管理条例》等法规规定进行行政处罚。</w:t>
            </w:r>
          </w:p>
        </w:tc>
      </w:tr>
    </w:tbl>
    <w:p>
      <w:pPr>
        <w:widowControl/>
        <w:jc w:val="left"/>
        <w:rPr>
          <w:rFonts w:ascii="Times New Roman" w:hAnsi="Times New Roman" w:eastAsia="仿宋_GB2312" w:cs="Times New Roman"/>
          <w:kern w:val="0"/>
          <w:sz w:val="30"/>
          <w:szCs w:val="30"/>
        </w:rPr>
      </w:pPr>
    </w:p>
    <w:p>
      <w:pPr>
        <w:rPr>
          <w:rFonts w:ascii="Times New Roman" w:hAnsi="Times New Roman" w:eastAsia="仿宋_GB2312" w:cs="Times New Roman"/>
          <w:kern w:val="0"/>
          <w:sz w:val="30"/>
          <w:szCs w:val="30"/>
        </w:rPr>
      </w:pPr>
    </w:p>
    <w:p>
      <w:pPr>
        <w:widowControl/>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br w:type="page"/>
      </w:r>
    </w:p>
    <w:p>
      <w:pPr>
        <w:widowControl/>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附录五</w:t>
      </w:r>
    </w:p>
    <w:p>
      <w:pPr>
        <w:jc w:val="center"/>
        <w:rPr>
          <w:rFonts w:ascii="Times New Roman" w:hAnsi="黑体" w:eastAsia="黑体" w:cs="Times New Roman"/>
          <w:kern w:val="0"/>
          <w:sz w:val="30"/>
          <w:szCs w:val="30"/>
        </w:rPr>
      </w:pPr>
    </w:p>
    <w:p>
      <w:pPr>
        <w:jc w:val="center"/>
        <w:rPr>
          <w:rFonts w:ascii="Times New Roman" w:hAnsi="黑体" w:eastAsia="黑体" w:cs="Times New Roman"/>
          <w:kern w:val="0"/>
          <w:sz w:val="30"/>
          <w:szCs w:val="30"/>
        </w:rPr>
      </w:pPr>
      <w:r>
        <w:rPr>
          <w:rFonts w:ascii="Times New Roman" w:hAnsi="黑体" w:eastAsia="黑体" w:cs="Times New Roman"/>
          <w:kern w:val="0"/>
          <w:sz w:val="30"/>
          <w:szCs w:val="30"/>
        </w:rPr>
        <w:t>常见问题</w:t>
      </w:r>
    </w:p>
    <w:p>
      <w:pPr>
        <w:jc w:val="center"/>
        <w:rPr>
          <w:rFonts w:ascii="Times New Roman" w:hAnsi="Times New Roman" w:eastAsia="黑体" w:cs="Times New Roman"/>
          <w:kern w:val="0"/>
          <w:sz w:val="30"/>
          <w:szCs w:val="30"/>
        </w:rPr>
      </w:pPr>
    </w:p>
    <w:p>
      <w:pPr>
        <w:ind w:firstLine="59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1.问：请问中资企业是否能够借入外债？</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答：除房地产企业和政府融资平台以外的中资企业，可以按照《中国人民银行关于全口径跨境融资宏观审慎管理有关事宜的通知》（银发〔2017〕9号）</w:t>
      </w:r>
      <w:r>
        <w:rPr>
          <w:rFonts w:hint="eastAsia" w:ascii="Times New Roman" w:hAnsi="Times New Roman" w:eastAsia="仿宋_GB2312" w:cs="Times New Roman"/>
          <w:kern w:val="0"/>
          <w:sz w:val="30"/>
          <w:szCs w:val="30"/>
        </w:rPr>
        <w:t>和</w:t>
      </w:r>
      <w:r>
        <w:rPr>
          <w:rFonts w:ascii="Times New Roman" w:hAnsi="Times New Roman" w:eastAsia="仿宋_GB2312" w:cs="Times New Roman"/>
          <w:kern w:val="0"/>
          <w:sz w:val="30"/>
          <w:szCs w:val="30"/>
        </w:rPr>
        <w:t>《中国人民银行</w:t>
      </w:r>
      <w:r>
        <w:rPr>
          <w:rFonts w:hint="eastAsia" w:ascii="Times New Roman" w:hAnsi="Times New Roman" w:eastAsia="仿宋_GB2312" w:cs="Times New Roman"/>
          <w:kern w:val="0"/>
          <w:sz w:val="30"/>
          <w:szCs w:val="30"/>
        </w:rPr>
        <w:t xml:space="preserve">  国家外汇管理局</w:t>
      </w:r>
      <w:r>
        <w:rPr>
          <w:rFonts w:ascii="Times New Roman" w:hAnsi="Times New Roman" w:eastAsia="仿宋_GB2312" w:cs="Times New Roman"/>
          <w:kern w:val="0"/>
          <w:sz w:val="30"/>
          <w:szCs w:val="30"/>
        </w:rPr>
        <w:t>关于</w:t>
      </w:r>
      <w:r>
        <w:rPr>
          <w:rFonts w:hint="eastAsia" w:ascii="Times New Roman" w:hAnsi="Times New Roman" w:eastAsia="仿宋_GB2312" w:cs="Times New Roman"/>
          <w:kern w:val="0"/>
          <w:sz w:val="30"/>
          <w:szCs w:val="30"/>
        </w:rPr>
        <w:t>调整</w:t>
      </w:r>
      <w:r>
        <w:rPr>
          <w:rFonts w:hint="eastAsia" w:ascii="Times New Roman" w:hAnsi="Times New Roman" w:eastAsia="仿宋_GB2312" w:cs="Times New Roman"/>
          <w:kern w:val="0"/>
          <w:sz w:val="30"/>
          <w:szCs w:val="30"/>
          <w:lang w:eastAsia="zh-CN"/>
        </w:rPr>
        <w:t>企业</w:t>
      </w:r>
      <w:r>
        <w:rPr>
          <w:rFonts w:ascii="Times New Roman" w:hAnsi="Times New Roman" w:eastAsia="仿宋_GB2312" w:cs="Times New Roman"/>
          <w:kern w:val="0"/>
          <w:sz w:val="30"/>
          <w:szCs w:val="30"/>
        </w:rPr>
        <w:t>全口径跨境融资宏观审慎</w:t>
      </w:r>
      <w:r>
        <w:rPr>
          <w:rFonts w:hint="eastAsia" w:ascii="Times New Roman" w:hAnsi="Times New Roman" w:eastAsia="仿宋_GB2312" w:cs="Times New Roman"/>
          <w:kern w:val="0"/>
          <w:sz w:val="30"/>
          <w:szCs w:val="30"/>
        </w:rPr>
        <w:t>调节参数</w:t>
      </w:r>
      <w:r>
        <w:rPr>
          <w:rFonts w:ascii="Times New Roman" w:hAnsi="Times New Roman" w:eastAsia="仿宋_GB2312" w:cs="Times New Roman"/>
          <w:kern w:val="0"/>
          <w:sz w:val="30"/>
          <w:szCs w:val="30"/>
        </w:rPr>
        <w:t>的通知》（银发〔20</w:t>
      </w:r>
      <w:r>
        <w:rPr>
          <w:rFonts w:hint="eastAsia" w:ascii="Times New Roman" w:hAnsi="Times New Roman" w:eastAsia="仿宋_GB2312" w:cs="Times New Roman"/>
          <w:kern w:val="0"/>
          <w:sz w:val="30"/>
          <w:szCs w:val="30"/>
        </w:rPr>
        <w:t>2</w:t>
      </w:r>
      <w:r>
        <w:rPr>
          <w:rFonts w:hint="eastAsia" w:ascii="Times New Roman" w:hAnsi="Times New Roman" w:eastAsia="仿宋_GB2312" w:cs="Times New Roman"/>
          <w:kern w:val="0"/>
          <w:sz w:val="30"/>
          <w:szCs w:val="30"/>
          <w:lang w:val="en-US" w:eastAsia="zh-CN"/>
        </w:rPr>
        <w:t>1</w:t>
      </w:r>
      <w:r>
        <w:rPr>
          <w:rFonts w:ascii="Times New Roman" w:hAnsi="Times New Roman" w:eastAsia="仿宋_GB2312" w:cs="Times New Roman"/>
          <w:kern w:val="0"/>
          <w:sz w:val="30"/>
          <w:szCs w:val="30"/>
        </w:rPr>
        <w:t>〕</w:t>
      </w:r>
      <w:r>
        <w:rPr>
          <w:rFonts w:hint="eastAsia" w:ascii="Times New Roman" w:hAnsi="Times New Roman" w:eastAsia="仿宋_GB2312" w:cs="Times New Roman"/>
          <w:kern w:val="0"/>
          <w:sz w:val="30"/>
          <w:szCs w:val="30"/>
          <w:lang w:val="en-US" w:eastAsia="zh-CN"/>
        </w:rPr>
        <w:t>5</w:t>
      </w:r>
      <w:r>
        <w:rPr>
          <w:rFonts w:ascii="Times New Roman" w:hAnsi="Times New Roman" w:eastAsia="仿宋_GB2312" w:cs="Times New Roman"/>
          <w:kern w:val="0"/>
          <w:sz w:val="30"/>
          <w:szCs w:val="30"/>
        </w:rPr>
        <w:t>号）等相关文件规定借入外债。</w:t>
      </w: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p>
    <w:p>
      <w:pPr>
        <w:adjustRightInd w:val="0"/>
        <w:snapToGrid w:val="0"/>
        <w:spacing w:line="360" w:lineRule="auto"/>
        <w:rPr>
          <w:rFonts w:ascii="Times New Roman" w:hAnsi="Times New Roman" w:eastAsia="仿宋_GB2312" w:cs="Times New Roman"/>
          <w:sz w:val="30"/>
          <w:szCs w:val="30"/>
        </w:rPr>
      </w:pPr>
    </w:p>
    <w:p>
      <w:pPr>
        <w:rPr>
          <w:rFonts w:ascii="Times New Roman" w:hAnsi="Times New Roman" w:cs="Times New Roman"/>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855567"/>
      <w:docPartObj>
        <w:docPartGallery w:val="autotext"/>
      </w:docPartObj>
    </w:sdtPr>
    <w:sdtContent>
      <w:p>
        <w:pPr>
          <w:pStyle w:val="8"/>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rPr>
          <w:rFonts w:ascii="宋体" w:hAnsi="宋体"/>
          <w:sz w:val="21"/>
          <w:szCs w:val="21"/>
        </w:rPr>
      </w:pPr>
      <w:r>
        <w:rPr>
          <w:rStyle w:val="16"/>
          <w:rFonts w:ascii="宋体" w:hAnsi="宋体"/>
          <w:sz w:val="21"/>
          <w:szCs w:val="21"/>
        </w:rPr>
        <w:footnoteRef/>
      </w:r>
      <w:r>
        <w:rPr>
          <w:rFonts w:hint="eastAsia" w:ascii="宋体" w:hAnsi="宋体"/>
          <w:sz w:val="21"/>
          <w:szCs w:val="21"/>
        </w:rPr>
        <w:t>外币跨境融资以签约日的汇率水平折算。</w:t>
      </w:r>
    </w:p>
  </w:footnote>
  <w:footnote w:id="1">
    <w:p>
      <w:pPr>
        <w:pStyle w:val="10"/>
        <w:rPr>
          <w:rFonts w:ascii="宋体" w:hAnsi="宋体"/>
          <w:sz w:val="21"/>
          <w:szCs w:val="21"/>
        </w:rPr>
      </w:pPr>
      <w:r>
        <w:rPr>
          <w:rStyle w:val="16"/>
          <w:rFonts w:ascii="宋体" w:hAnsi="宋体"/>
          <w:sz w:val="21"/>
          <w:szCs w:val="21"/>
        </w:rPr>
        <w:footnoteRef/>
      </w:r>
      <w:r>
        <w:rPr>
          <w:rFonts w:hint="eastAsia" w:ascii="宋体" w:hAnsi="宋体"/>
          <w:sz w:val="21"/>
          <w:szCs w:val="21"/>
        </w:rPr>
        <w:t xml:space="preserve"> 债务人类型请按以下分类填写：中资企业、外资企业。</w:t>
      </w:r>
    </w:p>
  </w:footnote>
  <w:footnote w:id="2">
    <w:p>
      <w:pPr>
        <w:pStyle w:val="10"/>
        <w:rPr>
          <w:rFonts w:ascii="宋体" w:hAnsi="宋体"/>
          <w:sz w:val="21"/>
          <w:szCs w:val="21"/>
        </w:rPr>
      </w:pPr>
      <w:r>
        <w:rPr>
          <w:rStyle w:val="16"/>
          <w:rFonts w:ascii="宋体" w:hAnsi="宋体"/>
          <w:sz w:val="21"/>
          <w:szCs w:val="21"/>
        </w:rPr>
        <w:footnoteRef/>
      </w:r>
      <w:r>
        <w:rPr>
          <w:rFonts w:hint="eastAsia" w:ascii="宋体" w:hAnsi="宋体"/>
          <w:sz w:val="21"/>
          <w:szCs w:val="21"/>
        </w:rPr>
        <w:t>根据债务人上年度或最新的经审计的会计报表填写。</w:t>
      </w:r>
    </w:p>
  </w:footnote>
  <w:footnote w:id="3">
    <w:p>
      <w:pPr>
        <w:pStyle w:val="10"/>
        <w:rPr>
          <w:rFonts w:ascii="宋体" w:hAnsi="宋体"/>
          <w:sz w:val="21"/>
          <w:szCs w:val="21"/>
        </w:rPr>
      </w:pPr>
      <w:r>
        <w:rPr>
          <w:rStyle w:val="16"/>
          <w:rFonts w:ascii="宋体" w:hAnsi="宋体"/>
          <w:sz w:val="21"/>
          <w:szCs w:val="21"/>
        </w:rPr>
        <w:footnoteRef/>
      </w:r>
      <w:r>
        <w:rPr>
          <w:rFonts w:hint="eastAsia" w:ascii="宋体" w:hAnsi="宋体"/>
          <w:sz w:val="21"/>
          <w:szCs w:val="21"/>
        </w:rPr>
        <w:t>跨境融资风险加权余额上限=净资产×外债杠杆率×宏观审慎调节参数。其中，宏观审慎条件参数的初始值设定为1</w:t>
      </w:r>
      <w:r>
        <w:rPr>
          <w:rFonts w:hint="eastAsia" w:ascii="宋体" w:hAnsi="宋体"/>
          <w:sz w:val="21"/>
          <w:szCs w:val="21"/>
          <w:lang w:val="en-US" w:eastAsia="zh-CN"/>
        </w:rPr>
        <w:t>.0</w:t>
      </w:r>
      <w:r>
        <w:rPr>
          <w:rFonts w:hint="eastAsia" w:ascii="宋体" w:hAnsi="宋体"/>
          <w:sz w:val="21"/>
          <w:szCs w:val="21"/>
        </w:rPr>
        <w:t>，外债杠杆率初始值设定为2。</w:t>
      </w:r>
    </w:p>
  </w:footnote>
  <w:footnote w:id="4">
    <w:p>
      <w:pPr>
        <w:pStyle w:val="10"/>
        <w:rPr>
          <w:rFonts w:ascii="宋体" w:hAnsi="宋体"/>
          <w:sz w:val="21"/>
          <w:szCs w:val="21"/>
        </w:rPr>
      </w:pPr>
      <w:r>
        <w:rPr>
          <w:rStyle w:val="16"/>
          <w:rFonts w:ascii="宋体" w:hAnsi="宋体"/>
          <w:sz w:val="21"/>
          <w:szCs w:val="21"/>
        </w:rPr>
        <w:footnoteRef/>
      </w:r>
      <w:r>
        <w:rPr>
          <w:rFonts w:hint="eastAsia" w:ascii="宋体" w:hAnsi="宋体"/>
          <w:sz w:val="21"/>
          <w:szCs w:val="21"/>
        </w:rPr>
        <w:t xml:space="preserve">纳入计算的中长期外债余额= 中长期现有外债余额 + 中长期本笔外债签约额 </w:t>
      </w:r>
      <w:r>
        <w:rPr>
          <w:rFonts w:ascii="宋体" w:hAnsi="宋体"/>
          <w:sz w:val="21"/>
          <w:szCs w:val="21"/>
        </w:rPr>
        <w:t>–</w:t>
      </w:r>
      <w:r>
        <w:rPr>
          <w:rFonts w:hint="eastAsia" w:ascii="宋体" w:hAnsi="宋体"/>
          <w:sz w:val="21"/>
          <w:szCs w:val="21"/>
        </w:rPr>
        <w:t xml:space="preserve"> 不纳入计算的业务类型的中长期外债余额。纳入计算的短期外债和外币外债余额参照此公式计算。</w:t>
      </w:r>
    </w:p>
  </w:footnote>
  <w:footnote w:id="5">
    <w:p>
      <w:pPr>
        <w:pStyle w:val="10"/>
        <w:rPr>
          <w:rFonts w:ascii="宋体" w:hAnsi="宋体"/>
          <w:sz w:val="21"/>
          <w:szCs w:val="21"/>
        </w:rPr>
      </w:pPr>
      <w:r>
        <w:rPr>
          <w:rStyle w:val="16"/>
          <w:rFonts w:ascii="宋体" w:hAnsi="宋体"/>
          <w:sz w:val="21"/>
          <w:szCs w:val="21"/>
        </w:rPr>
        <w:footnoteRef/>
      </w:r>
      <w:r>
        <w:rPr>
          <w:rFonts w:hint="eastAsia" w:ascii="宋体" w:hAnsi="宋体"/>
          <w:sz w:val="21"/>
          <w:szCs w:val="21"/>
        </w:rPr>
        <w:t xml:space="preserve"> 跨境融资风险加权余额=纳入计算的中长期外债余额×中长期外债期限风险转换因子+纳入计算的短期外债余额×短期外债期限风险转换因子+纳入计算的外币外债余额×汇率风险折算因子。其中，中长期、短期外债期限风险转换因子分别为1、1.5；汇率风险折算因子为0.5。</w:t>
      </w:r>
    </w:p>
  </w:footnote>
  <w:footnote w:id="6">
    <w:p>
      <w:pPr>
        <w:pStyle w:val="10"/>
        <w:rPr>
          <w:rFonts w:ascii="宋体" w:hAnsi="宋体"/>
        </w:rPr>
      </w:pPr>
      <w:r>
        <w:rPr>
          <w:rStyle w:val="16"/>
          <w:rFonts w:ascii="宋体" w:hAnsi="宋体"/>
        </w:rPr>
        <w:footnoteRef/>
      </w:r>
      <w:r>
        <w:rPr>
          <w:rFonts w:hint="eastAsia" w:ascii="宋体" w:hAnsi="宋体"/>
        </w:rPr>
        <w:t>外币跨境融资以签约日的汇率水平折算。</w:t>
      </w:r>
    </w:p>
  </w:footnote>
  <w:footnote w:id="7">
    <w:p>
      <w:pPr>
        <w:pStyle w:val="10"/>
        <w:rPr>
          <w:rFonts w:ascii="宋体" w:hAnsi="宋体"/>
        </w:rPr>
      </w:pPr>
      <w:r>
        <w:rPr>
          <w:rStyle w:val="16"/>
          <w:rFonts w:ascii="宋体" w:hAnsi="宋体"/>
        </w:rPr>
        <w:footnoteRef/>
      </w:r>
      <w:r>
        <w:rPr>
          <w:rFonts w:hint="eastAsia" w:ascii="宋体" w:hAnsi="宋体"/>
        </w:rPr>
        <w:t xml:space="preserve"> 债务人类型请按以下分类填写：中资企业、外资企业。</w:t>
      </w:r>
    </w:p>
  </w:footnote>
  <w:footnote w:id="8">
    <w:p>
      <w:pPr>
        <w:pStyle w:val="10"/>
        <w:rPr>
          <w:rFonts w:ascii="宋体" w:hAnsi="宋体"/>
        </w:rPr>
      </w:pPr>
      <w:r>
        <w:rPr>
          <w:rStyle w:val="16"/>
          <w:rFonts w:ascii="宋体" w:hAnsi="宋体"/>
        </w:rPr>
        <w:footnoteRef/>
      </w:r>
      <w:r>
        <w:rPr>
          <w:rFonts w:hint="eastAsia" w:ascii="宋体" w:hAnsi="宋体"/>
        </w:rPr>
        <w:t>根据债务人上年度或最新的经审计的会计报表填写。</w:t>
      </w:r>
    </w:p>
  </w:footnote>
  <w:footnote w:id="9">
    <w:p>
      <w:pPr>
        <w:pStyle w:val="10"/>
        <w:rPr>
          <w:rFonts w:ascii="宋体" w:hAnsi="宋体"/>
        </w:rPr>
      </w:pPr>
      <w:r>
        <w:rPr>
          <w:rStyle w:val="16"/>
          <w:rFonts w:ascii="宋体" w:hAnsi="宋体"/>
        </w:rPr>
        <w:footnoteRef/>
      </w:r>
      <w:r>
        <w:rPr>
          <w:rFonts w:hint="eastAsia" w:ascii="宋体" w:hAnsi="宋体"/>
        </w:rPr>
        <w:t>跨境融资风险加权余额上限=净资产×外债杠杆率×宏观审慎调节参数。其中，宏观审慎条件参数的初始值设定为</w:t>
      </w:r>
      <w:r>
        <w:rPr>
          <w:rFonts w:hint="eastAsia" w:ascii="宋体" w:hAnsi="宋体"/>
          <w:lang w:val="en-US" w:eastAsia="zh-CN"/>
        </w:rPr>
        <w:t>1</w:t>
      </w:r>
      <w:r>
        <w:rPr>
          <w:rFonts w:hint="eastAsia" w:ascii="宋体" w:hAnsi="宋体"/>
        </w:rPr>
        <w:t>，外债杠杆率初始值设定为2。</w:t>
      </w:r>
    </w:p>
  </w:footnote>
  <w:footnote w:id="10">
    <w:p>
      <w:pPr>
        <w:pStyle w:val="10"/>
        <w:rPr>
          <w:rFonts w:ascii="宋体" w:hAnsi="宋体"/>
        </w:rPr>
      </w:pPr>
      <w:r>
        <w:rPr>
          <w:rStyle w:val="16"/>
          <w:rFonts w:ascii="宋体" w:hAnsi="宋体"/>
        </w:rPr>
        <w:footnoteRef/>
      </w:r>
      <w:r>
        <w:rPr>
          <w:rFonts w:hint="eastAsia" w:ascii="宋体" w:hAnsi="宋体"/>
        </w:rPr>
        <w:t xml:space="preserve">纳入计算的中长期外债余额= 中长期现有外债余额 + 中长期本笔外债签约额 </w:t>
      </w:r>
      <w:r>
        <w:rPr>
          <w:rFonts w:ascii="宋体" w:hAnsi="宋体"/>
        </w:rPr>
        <w:t>–</w:t>
      </w:r>
      <w:r>
        <w:rPr>
          <w:rFonts w:hint="eastAsia" w:ascii="宋体" w:hAnsi="宋体"/>
        </w:rPr>
        <w:t xml:space="preserve"> 不纳入计算的业务类型的中长期外债余额。纳入计算的短期外债和外币外债余额参照此公式计算。</w:t>
      </w:r>
    </w:p>
  </w:footnote>
  <w:footnote w:id="11">
    <w:p>
      <w:pPr>
        <w:pStyle w:val="10"/>
        <w:rPr>
          <w:rFonts w:ascii="宋体" w:hAnsi="宋体"/>
        </w:rPr>
      </w:pPr>
      <w:r>
        <w:rPr>
          <w:rStyle w:val="16"/>
          <w:rFonts w:ascii="宋体" w:hAnsi="宋体"/>
        </w:rPr>
        <w:footnoteRef/>
      </w:r>
      <w:r>
        <w:rPr>
          <w:rFonts w:hint="eastAsia" w:ascii="宋体" w:hAnsi="宋体"/>
        </w:rPr>
        <w:t xml:space="preserve"> 跨境融资风险加权余额=纳入计算的中长期外债余额×中长期外债期限风险转换因子+纳入计算的短期外债余额×短期外债期限风险转换因子+纳入计算的外币外债余额×汇率风险折算因子。其中，中长期、短期外债期限风险转换因子分别为1、1.5；汇率风险折算因子为0.5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90611"/>
    <w:multiLevelType w:val="singleLevel"/>
    <w:tmpl w:val="83D9061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45DA"/>
    <w:rsid w:val="000B7295"/>
    <w:rsid w:val="000C27F4"/>
    <w:rsid w:val="00135109"/>
    <w:rsid w:val="00145BD8"/>
    <w:rsid w:val="00176A6D"/>
    <w:rsid w:val="001B0173"/>
    <w:rsid w:val="002641AE"/>
    <w:rsid w:val="00265F5D"/>
    <w:rsid w:val="002C6C8D"/>
    <w:rsid w:val="00330668"/>
    <w:rsid w:val="00366261"/>
    <w:rsid w:val="0038340C"/>
    <w:rsid w:val="0039521E"/>
    <w:rsid w:val="003976DA"/>
    <w:rsid w:val="003A03C4"/>
    <w:rsid w:val="003E46F2"/>
    <w:rsid w:val="00420920"/>
    <w:rsid w:val="00442008"/>
    <w:rsid w:val="00466BB3"/>
    <w:rsid w:val="004E1CBA"/>
    <w:rsid w:val="004E593D"/>
    <w:rsid w:val="004F0C27"/>
    <w:rsid w:val="00624074"/>
    <w:rsid w:val="00631264"/>
    <w:rsid w:val="00643652"/>
    <w:rsid w:val="00665B51"/>
    <w:rsid w:val="006821C8"/>
    <w:rsid w:val="006B2D7D"/>
    <w:rsid w:val="006B35CF"/>
    <w:rsid w:val="006C7F0D"/>
    <w:rsid w:val="00715C9E"/>
    <w:rsid w:val="007274A4"/>
    <w:rsid w:val="00756B35"/>
    <w:rsid w:val="00771D90"/>
    <w:rsid w:val="007813E1"/>
    <w:rsid w:val="007F2F08"/>
    <w:rsid w:val="00823D47"/>
    <w:rsid w:val="008720C9"/>
    <w:rsid w:val="0087502E"/>
    <w:rsid w:val="0088591A"/>
    <w:rsid w:val="00886AB5"/>
    <w:rsid w:val="008A21BD"/>
    <w:rsid w:val="008A4948"/>
    <w:rsid w:val="008F57C2"/>
    <w:rsid w:val="0091298F"/>
    <w:rsid w:val="00925C27"/>
    <w:rsid w:val="0096421E"/>
    <w:rsid w:val="009A7B1F"/>
    <w:rsid w:val="009F0EE8"/>
    <w:rsid w:val="00AA48B7"/>
    <w:rsid w:val="00B80652"/>
    <w:rsid w:val="00C125D3"/>
    <w:rsid w:val="00C8240C"/>
    <w:rsid w:val="00C91A20"/>
    <w:rsid w:val="00C94951"/>
    <w:rsid w:val="00CB28E1"/>
    <w:rsid w:val="00CD76A0"/>
    <w:rsid w:val="00CF1A09"/>
    <w:rsid w:val="00CF3A9E"/>
    <w:rsid w:val="00CF5F04"/>
    <w:rsid w:val="00D217AF"/>
    <w:rsid w:val="00D845DA"/>
    <w:rsid w:val="00DC7DB0"/>
    <w:rsid w:val="00DD3466"/>
    <w:rsid w:val="00DF4380"/>
    <w:rsid w:val="00E91622"/>
    <w:rsid w:val="00EC386A"/>
    <w:rsid w:val="00F36838"/>
    <w:rsid w:val="00F53E44"/>
    <w:rsid w:val="00F55030"/>
    <w:rsid w:val="00FA003D"/>
    <w:rsid w:val="00FA6F43"/>
    <w:rsid w:val="00FB14AD"/>
    <w:rsid w:val="00FD2363"/>
    <w:rsid w:val="15A837D2"/>
    <w:rsid w:val="167C22C1"/>
    <w:rsid w:val="1A5D1395"/>
    <w:rsid w:val="22582CA2"/>
    <w:rsid w:val="35007A39"/>
    <w:rsid w:val="429F2A88"/>
    <w:rsid w:val="44CB468A"/>
    <w:rsid w:val="45E12387"/>
    <w:rsid w:val="58E3656D"/>
    <w:rsid w:val="5CD407E0"/>
    <w:rsid w:val="6B8404C5"/>
    <w:rsid w:val="74D73698"/>
    <w:rsid w:val="76714A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AutoShape 9"/>
        <o:r id="V:Rule2" type="connector" idref="#AutoShape 10"/>
        <o:r id="V:Rule3" type="connector" idref="#AutoShape 11"/>
        <o:r id="V:Rule4" type="connector" idref="#AutoShape 12"/>
        <o:r id="V:Rule5" type="connector" idref="#AutoShape 13"/>
        <o:r id="V:Rule6" type="connector" idref="#AutoShape 15"/>
        <o:r id="V:Rule7" type="connector" idref="#AutoShape 17"/>
        <o:r id="V:Rule8" type="connector" idref="#AutoShape 19"/>
        <o:r id="V:Rule9" type="connector" idref="#AutoShape 26"/>
        <o:r id="V:Rule10" type="connector" idref="#AutoShape 27"/>
        <o:r id="V:Rule11" type="connector" idref="#AutoShape 29"/>
        <o:r id="V:Rule12" type="connector" idref="#AutoShape 30"/>
        <o:r id="V:Rule13" type="connector" idref="#AutoShape 33"/>
        <o:r id="V:Rule14" type="connector" idref="#AutoShape 34"/>
        <o:r id="V:Rule15" type="connector" idref="#AutoShape 35"/>
        <o:r id="V:Rule16" type="connector" idref="#AutoShape 38"/>
        <o:r id="V:Rule17" type="callout" idref="#线形标注 3 9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19"/>
    <w:qFormat/>
    <w:uiPriority w:val="9"/>
    <w:pPr>
      <w:ind w:right="300"/>
      <w:outlineLvl w:val="2"/>
    </w:pPr>
    <w:rPr>
      <w:rFonts w:ascii="仿宋_GB2312" w:hAnsi="Calibri" w:eastAsia="仿宋_GB2312" w:cs="Times New Roman"/>
      <w:sz w:val="30"/>
      <w:szCs w:val="3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1"/>
    <w:unhideWhenUsed/>
    <w:qFormat/>
    <w:uiPriority w:val="0"/>
    <w:rPr>
      <w:rFonts w:ascii="宋体"/>
      <w:sz w:val="18"/>
      <w:szCs w:val="18"/>
    </w:rPr>
  </w:style>
  <w:style w:type="paragraph" w:styleId="6">
    <w:name w:val="annotation text"/>
    <w:basedOn w:val="1"/>
    <w:link w:val="28"/>
    <w:unhideWhenUsed/>
    <w:qFormat/>
    <w:uiPriority w:val="99"/>
    <w:pPr>
      <w:jc w:val="left"/>
    </w:pPr>
    <w:rPr>
      <w:rFonts w:ascii="Calibri" w:hAnsi="Calibri" w:eastAsia="宋体" w:cs="Times New Roman"/>
    </w:rPr>
  </w:style>
  <w:style w:type="paragraph" w:styleId="7">
    <w:name w:val="Balloon Text"/>
    <w:basedOn w:val="1"/>
    <w:link w:val="23"/>
    <w:unhideWhenUsed/>
    <w:qFormat/>
    <w:uiPriority w:val="0"/>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9"/>
    <w:semiHidden/>
    <w:qFormat/>
    <w:uiPriority w:val="0"/>
    <w:pPr>
      <w:snapToGrid w:val="0"/>
      <w:jc w:val="left"/>
    </w:pPr>
    <w:rPr>
      <w:rFonts w:ascii="Times New Roman" w:hAnsi="Times New Roman"/>
      <w:sz w:val="18"/>
      <w:szCs w:val="18"/>
    </w:rPr>
  </w:style>
  <w:style w:type="paragraph" w:styleId="11">
    <w:name w:val="HTML Preformatted"/>
    <w:basedOn w:val="1"/>
    <w:link w:val="2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footnote reference"/>
    <w:unhideWhenUsed/>
    <w:qFormat/>
    <w:uiPriority w:val="0"/>
    <w:rPr>
      <w:rFonts w:ascii="Times New Roman" w:hAnsi="Times New Roman" w:cs="Times New Roman"/>
      <w:vertAlign w:val="superscript"/>
    </w:rPr>
  </w:style>
  <w:style w:type="character" w:customStyle="1" w:styleId="17">
    <w:name w:val="标题 1 Char"/>
    <w:basedOn w:val="14"/>
    <w:link w:val="2"/>
    <w:qFormat/>
    <w:uiPriority w:val="9"/>
    <w:rPr>
      <w:rFonts w:ascii="黑体" w:hAnsi="黑体" w:eastAsia="黑体" w:cs="宋体"/>
      <w:color w:val="000000"/>
      <w:kern w:val="0"/>
      <w:sz w:val="30"/>
      <w:szCs w:val="30"/>
    </w:rPr>
  </w:style>
  <w:style w:type="character" w:customStyle="1" w:styleId="18">
    <w:name w:val="标题 2 Char"/>
    <w:basedOn w:val="14"/>
    <w:link w:val="3"/>
    <w:qFormat/>
    <w:uiPriority w:val="9"/>
    <w:rPr>
      <w:rFonts w:ascii="Cambria" w:hAnsi="Cambria" w:eastAsia="宋体" w:cs="Times New Roman"/>
      <w:b/>
      <w:bCs/>
      <w:sz w:val="32"/>
      <w:szCs w:val="32"/>
    </w:rPr>
  </w:style>
  <w:style w:type="character" w:customStyle="1" w:styleId="19">
    <w:name w:val="标题 3 Char"/>
    <w:basedOn w:val="14"/>
    <w:link w:val="4"/>
    <w:qFormat/>
    <w:uiPriority w:val="9"/>
    <w:rPr>
      <w:rFonts w:ascii="仿宋_GB2312" w:hAnsi="Calibri" w:eastAsia="仿宋_GB2312" w:cs="Times New Roman"/>
      <w:sz w:val="30"/>
      <w:szCs w:val="30"/>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styleId="22">
    <w:name w:val="List Paragraph"/>
    <w:basedOn w:val="1"/>
    <w:qFormat/>
    <w:uiPriority w:val="99"/>
    <w:pPr>
      <w:ind w:firstLine="420" w:firstLineChars="200"/>
    </w:pPr>
  </w:style>
  <w:style w:type="character" w:customStyle="1" w:styleId="23">
    <w:name w:val="批注框文本 Char"/>
    <w:basedOn w:val="14"/>
    <w:link w:val="7"/>
    <w:qFormat/>
    <w:uiPriority w:val="0"/>
    <w:rPr>
      <w:sz w:val="18"/>
      <w:szCs w:val="18"/>
    </w:rPr>
  </w:style>
  <w:style w:type="character" w:customStyle="1" w:styleId="24">
    <w:name w:val="批注框文本 Char1"/>
    <w:basedOn w:val="14"/>
    <w:semiHidden/>
    <w:qFormat/>
    <w:uiPriority w:val="99"/>
    <w:rPr>
      <w:sz w:val="18"/>
      <w:szCs w:val="18"/>
    </w:rPr>
  </w:style>
  <w:style w:type="character" w:customStyle="1" w:styleId="25">
    <w:name w:val="HTML 预设格式 Char"/>
    <w:basedOn w:val="14"/>
    <w:link w:val="11"/>
    <w:qFormat/>
    <w:uiPriority w:val="99"/>
    <w:rPr>
      <w:rFonts w:ascii="宋体" w:hAnsi="宋体" w:eastAsia="宋体" w:cs="宋体"/>
      <w:kern w:val="0"/>
      <w:sz w:val="24"/>
      <w:szCs w:val="24"/>
    </w:rPr>
  </w:style>
  <w:style w:type="paragraph" w:customStyle="1" w:styleId="26">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7">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8">
    <w:name w:val="批注文字 Char"/>
    <w:basedOn w:val="14"/>
    <w:link w:val="6"/>
    <w:qFormat/>
    <w:uiPriority w:val="99"/>
    <w:rPr>
      <w:rFonts w:ascii="Calibri" w:hAnsi="Calibri" w:eastAsia="宋体" w:cs="Times New Roman"/>
    </w:rPr>
  </w:style>
  <w:style w:type="character" w:customStyle="1" w:styleId="29">
    <w:name w:val="脚注文本 Char"/>
    <w:basedOn w:val="14"/>
    <w:link w:val="10"/>
    <w:semiHidden/>
    <w:qFormat/>
    <w:uiPriority w:val="0"/>
    <w:rPr>
      <w:rFonts w:ascii="Times New Roman" w:hAnsi="Times New Roman"/>
      <w:sz w:val="18"/>
      <w:szCs w:val="18"/>
    </w:rPr>
  </w:style>
  <w:style w:type="character" w:customStyle="1" w:styleId="30">
    <w:name w:val="标题 4 Char Char"/>
    <w:qFormat/>
    <w:uiPriority w:val="0"/>
    <w:rPr>
      <w:rFonts w:ascii="Calibri" w:hAnsi="Calibri"/>
      <w:b/>
      <w:bCs/>
      <w:sz w:val="28"/>
      <w:szCs w:val="28"/>
      <w:lang w:eastAsia="en-US" w:bidi="en-US"/>
    </w:rPr>
  </w:style>
  <w:style w:type="character" w:customStyle="1" w:styleId="31">
    <w:name w:val="文档结构图 Char"/>
    <w:basedOn w:val="14"/>
    <w:link w:val="5"/>
    <w:qFormat/>
    <w:uiPriority w:val="0"/>
    <w:rPr>
      <w:rFonts w:ascii="宋体"/>
      <w:sz w:val="18"/>
      <w:szCs w:val="18"/>
    </w:rPr>
  </w:style>
  <w:style w:type="character" w:customStyle="1" w:styleId="32">
    <w:name w:val="Intense Emphasis"/>
    <w:basedOn w:val="14"/>
    <w:qFormat/>
    <w:uiPriority w:val="21"/>
    <w:rPr>
      <w:b/>
      <w:bCs/>
      <w:i/>
      <w:iCs/>
      <w:color w:val="4F81BD"/>
    </w:rPr>
  </w:style>
  <w:style w:type="character" w:customStyle="1" w:styleId="33">
    <w:name w:val="文档结构图 Char1"/>
    <w:basedOn w:val="14"/>
    <w:semiHidden/>
    <w:qFormat/>
    <w:uiPriority w:val="99"/>
    <w:rPr>
      <w:rFonts w:ascii="宋体" w:eastAsia="宋体"/>
      <w:sz w:val="18"/>
      <w:szCs w:val="18"/>
    </w:rPr>
  </w:style>
  <w:style w:type="character" w:customStyle="1" w:styleId="34">
    <w:name w:val="脚注文本 Char2"/>
    <w:basedOn w:val="14"/>
    <w:semiHidden/>
    <w:qFormat/>
    <w:uiPriority w:val="99"/>
    <w:rPr>
      <w:sz w:val="18"/>
      <w:szCs w:val="18"/>
    </w:rPr>
  </w:style>
  <w:style w:type="paragraph" w:customStyle="1" w:styleId="35">
    <w:name w:val="列出段落1"/>
    <w:basedOn w:val="1"/>
    <w:qFormat/>
    <w:uiPriority w:val="34"/>
    <w:pPr>
      <w:ind w:firstLine="420" w:firstLineChars="200"/>
    </w:pPr>
    <w:rPr>
      <w:rFonts w:ascii="Calibri" w:hAnsi="Calibri" w:eastAsia="宋体" w:cs="Times New Roman"/>
    </w:rPr>
  </w:style>
  <w:style w:type="paragraph" w:customStyle="1" w:styleId="36">
    <w:name w:val="列出段落4"/>
    <w:basedOn w:val="1"/>
    <w:qFormat/>
    <w:uiPriority w:val="0"/>
    <w:pPr>
      <w:ind w:firstLine="200" w:firstLineChars="200"/>
    </w:pPr>
    <w:rPr>
      <w:rFonts w:ascii="Calibri" w:hAnsi="Calibri" w:eastAsia="宋体" w:cs="Times New Roman"/>
    </w:rPr>
  </w:style>
  <w:style w:type="paragraph" w:customStyle="1" w:styleId="37">
    <w:name w:val="列出段落3"/>
    <w:basedOn w:val="1"/>
    <w:qFormat/>
    <w:uiPriority w:val="0"/>
    <w:pPr>
      <w:ind w:firstLine="420" w:firstLineChars="200"/>
    </w:pPr>
    <w:rPr>
      <w:rFonts w:ascii="Times New Roman" w:hAnsi="Times New Roman" w:eastAsia="宋体" w:cs="Times New Roman"/>
      <w:szCs w:val="24"/>
    </w:rPr>
  </w:style>
  <w:style w:type="paragraph" w:customStyle="1" w:styleId="38">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60"/>
    <customShpInfo spid="_x0000_s2062"/>
    <customShpInfo spid="_x0000_s2063"/>
    <customShpInfo spid="_x0000_s2064"/>
    <customShpInfo spid="_x0000_s2065"/>
    <customShpInfo spid="_x0000_s2066"/>
    <customShpInfo spid="_x0000_s2067"/>
    <customShpInfo spid="_x0000_s2068"/>
    <customShpInfo spid="_x0000_s2069"/>
    <customShpInfo spid="_x0000_s2071"/>
    <customShpInfo spid="_x0000_s2072"/>
    <customShpInfo spid="_x0000_s2074"/>
    <customShpInfo spid="_x0000_s2075"/>
    <customShpInfo spid="_x0000_s2076"/>
    <customShpInfo spid="_x0000_s2077"/>
    <customShpInfo spid="_x0000_s2073"/>
    <customShpInfo spid="_x0000_s2078"/>
    <customShpInfo spid="_x0000_s2079"/>
    <customShpInfo spid="_x0000_s2080"/>
    <customShpInfo spid="_x0000_s2081"/>
    <customShpInfo spid="_x0000_s2082"/>
    <customShpInfo spid="_x0000_s2070"/>
    <customShpInfo spid="_x0000_s2083"/>
    <customShpInfo spid="_x0000_s2061"/>
    <customShpInfo spid="_x0000_s2059"/>
    <customShpInfo spid="_x0000_s2050"/>
    <customShpInfo spid="_x0000_s2084"/>
    <customShpInfo spid="_x0000_s208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C05249-C3E1-45AC-A178-1055FCE7E86B}">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9</Pages>
  <Words>408</Words>
  <Characters>2331</Characters>
  <Lines>19</Lines>
  <Paragraphs>5</Paragraphs>
  <TotalTime>6</TotalTime>
  <ScaleCrop>false</ScaleCrop>
  <LinksUpToDate>false</LinksUpToDate>
  <CharactersWithSpaces>2734</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2020-03-17T01:49:00Z</dcterms:created>
  <dc:creator>朱敏1</dc:creator>
  <cp:lastModifiedBy>王芊</cp:lastModifiedBy>
  <cp:lastPrinted>2019-11-29T03:02:00Z</cp:lastPrinted>
  <dcterms:modified xsi:type="dcterms:W3CDTF">2022-05-24T01:53:29Z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