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ind w:right="300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</w:rPr>
        <w:t xml:space="preserve">编号：57017               </w:t>
      </w:r>
    </w:p>
    <w:p>
      <w:pPr>
        <w:ind w:right="300"/>
        <w:jc w:val="center"/>
        <w:rPr>
          <w:rFonts w:ascii="Times New Roman" w:hAnsi="Times New Roman" w:eastAsia="黑体" w:cs="Times New Roman"/>
          <w:color w:val="auto"/>
          <w:sz w:val="30"/>
          <w:szCs w:val="30"/>
        </w:rPr>
      </w:pPr>
    </w:p>
    <w:p>
      <w:pPr>
        <w:ind w:right="300"/>
        <w:jc w:val="center"/>
        <w:rPr>
          <w:rFonts w:ascii="Times New Roman" w:hAnsi="Times New Roman" w:eastAsia="黑体" w:cs="Times New Roman"/>
          <w:color w:val="auto"/>
          <w:sz w:val="30"/>
          <w:szCs w:val="30"/>
        </w:rPr>
      </w:pPr>
    </w:p>
    <w:p>
      <w:pPr>
        <w:ind w:right="300"/>
        <w:jc w:val="center"/>
        <w:rPr>
          <w:rFonts w:ascii="Times New Roman" w:hAnsi="Times New Roman" w:eastAsia="黑体" w:cs="Times New Roman"/>
          <w:color w:val="auto"/>
          <w:sz w:val="30"/>
          <w:szCs w:val="30"/>
        </w:rPr>
      </w:pPr>
    </w:p>
    <w:p>
      <w:pPr>
        <w:ind w:right="300"/>
        <w:jc w:val="center"/>
        <w:rPr>
          <w:rFonts w:hint="eastAsia" w:ascii="Times New Roman" w:hAnsi="Times New Roman" w:eastAsia="黑体" w:cs="Times New Roman"/>
          <w:color w:val="auto"/>
          <w:kern w:val="2"/>
          <w:sz w:val="52"/>
          <w:szCs w:val="52"/>
          <w:lang w:val="en-US" w:eastAsia="zh-CN" w:bidi="ar-SA"/>
        </w:rPr>
      </w:pPr>
      <w:r>
        <w:rPr>
          <w:rFonts w:hint="eastAsia" w:ascii="Times New Roman" w:hAnsi="Times New Roman" w:eastAsia="黑体" w:cs="Times New Roman"/>
          <w:color w:val="auto"/>
          <w:kern w:val="2"/>
          <w:sz w:val="52"/>
          <w:szCs w:val="52"/>
          <w:lang w:val="en-US" w:eastAsia="zh-CN" w:bidi="ar-SA"/>
        </w:rPr>
        <w:t>“外汇账户（含边贸人民币结算专用账户）的开立、变更、关闭、撤销以及账户允许保留限额核准”</w:t>
      </w:r>
    </w:p>
    <w:p>
      <w:pPr>
        <w:ind w:right="300"/>
        <w:jc w:val="center"/>
        <w:rPr>
          <w:rFonts w:hint="eastAsia" w:ascii="Times New Roman" w:hAnsi="Times New Roman" w:eastAsia="黑体" w:cs="Times New Roman"/>
          <w:color w:val="auto"/>
          <w:kern w:val="2"/>
          <w:sz w:val="52"/>
          <w:szCs w:val="52"/>
          <w:lang w:val="en-US" w:eastAsia="zh-CN" w:bidi="ar-SA"/>
        </w:rPr>
      </w:pPr>
      <w:r>
        <w:rPr>
          <w:rFonts w:hint="eastAsia" w:ascii="Times New Roman" w:hAnsi="Times New Roman" w:eastAsia="黑体" w:cs="Times New Roman"/>
          <w:color w:val="auto"/>
          <w:kern w:val="2"/>
          <w:sz w:val="52"/>
          <w:szCs w:val="52"/>
          <w:lang w:val="en-US" w:eastAsia="zh-CN" w:bidi="ar-SA"/>
        </w:rPr>
        <w:t>行政审批服务指南</w:t>
      </w:r>
    </w:p>
    <w:p>
      <w:pPr>
        <w:ind w:right="300"/>
        <w:jc w:val="center"/>
        <w:rPr>
          <w:rFonts w:hint="eastAsia" w:ascii="Times New Roman" w:hAnsi="Times New Roman" w:eastAsia="黑体" w:cs="Times New Roman"/>
          <w:color w:val="auto"/>
          <w:kern w:val="2"/>
          <w:sz w:val="52"/>
          <w:szCs w:val="52"/>
          <w:lang w:val="en-US" w:eastAsia="zh-CN" w:bidi="ar-SA"/>
        </w:rPr>
      </w:pPr>
    </w:p>
    <w:p>
      <w:pPr>
        <w:ind w:right="300"/>
        <w:jc w:val="center"/>
        <w:rPr>
          <w:rFonts w:hint="eastAsia" w:ascii="Times New Roman" w:hAnsi="Times New Roman" w:eastAsia="黑体" w:cs="Times New Roman"/>
          <w:color w:val="auto"/>
          <w:kern w:val="2"/>
          <w:sz w:val="52"/>
          <w:szCs w:val="52"/>
          <w:lang w:val="en-US" w:eastAsia="zh-CN" w:bidi="ar-SA"/>
        </w:rPr>
      </w:pPr>
    </w:p>
    <w:p>
      <w:pPr>
        <w:ind w:right="300"/>
        <w:jc w:val="center"/>
        <w:rPr>
          <w:rFonts w:hint="eastAsia" w:ascii="Times New Roman" w:hAnsi="Times New Roman" w:eastAsia="黑体" w:cs="Times New Roman"/>
          <w:color w:val="auto"/>
          <w:kern w:val="2"/>
          <w:sz w:val="52"/>
          <w:szCs w:val="52"/>
          <w:lang w:val="en-US" w:eastAsia="zh-CN" w:bidi="ar-SA"/>
        </w:rPr>
      </w:pPr>
    </w:p>
    <w:p>
      <w:pPr>
        <w:ind w:right="300"/>
        <w:jc w:val="center"/>
        <w:rPr>
          <w:rFonts w:hint="eastAsia" w:ascii="Times New Roman" w:hAnsi="Times New Roman" w:eastAsia="黑体" w:cs="Times New Roman"/>
          <w:color w:val="auto"/>
          <w:kern w:val="2"/>
          <w:sz w:val="52"/>
          <w:szCs w:val="52"/>
          <w:lang w:val="en-US" w:eastAsia="zh-CN" w:bidi="ar-SA"/>
        </w:rPr>
      </w:pPr>
    </w:p>
    <w:p>
      <w:pPr>
        <w:ind w:right="300"/>
        <w:jc w:val="center"/>
        <w:rPr>
          <w:rFonts w:hint="eastAsia" w:ascii="Times New Roman" w:hAnsi="Times New Roman" w:eastAsia="黑体" w:cs="Times New Roman"/>
          <w:color w:val="auto"/>
          <w:kern w:val="2"/>
          <w:sz w:val="52"/>
          <w:szCs w:val="52"/>
          <w:lang w:val="en-US" w:eastAsia="zh-CN" w:bidi="ar-SA"/>
        </w:rPr>
      </w:pPr>
    </w:p>
    <w:p>
      <w:pPr>
        <w:ind w:right="300"/>
        <w:jc w:val="center"/>
        <w:rPr>
          <w:rFonts w:hint="eastAsia" w:ascii="Times New Roman" w:hAnsi="Times New Roman" w:eastAsia="黑体" w:cs="Times New Roman"/>
          <w:color w:val="auto"/>
          <w:kern w:val="2"/>
          <w:sz w:val="52"/>
          <w:szCs w:val="52"/>
          <w:lang w:val="en-US" w:eastAsia="zh-CN" w:bidi="ar-SA"/>
        </w:rPr>
      </w:pPr>
    </w:p>
    <w:p>
      <w:pPr>
        <w:ind w:right="300"/>
        <w:jc w:val="center"/>
        <w:rPr>
          <w:rFonts w:hint="eastAsia" w:ascii="Times New Roman" w:hAnsi="Times New Roman" w:eastAsia="黑体" w:cs="Times New Roman"/>
          <w:color w:val="auto"/>
          <w:kern w:val="2"/>
          <w:sz w:val="52"/>
          <w:szCs w:val="52"/>
          <w:lang w:val="en-US" w:eastAsia="zh-CN" w:bidi="ar-SA"/>
        </w:rPr>
      </w:pPr>
    </w:p>
    <w:p>
      <w:pPr>
        <w:ind w:right="300"/>
        <w:jc w:val="center"/>
        <w:rPr>
          <w:rFonts w:hint="eastAsia" w:ascii="Times New Roman" w:hAnsi="Times New Roman" w:eastAsia="黑体" w:cs="Times New Roman"/>
          <w:color w:val="auto"/>
          <w:kern w:val="2"/>
          <w:sz w:val="52"/>
          <w:szCs w:val="52"/>
          <w:lang w:val="en-US" w:eastAsia="zh-CN" w:bidi="ar-SA"/>
        </w:rPr>
      </w:pPr>
    </w:p>
    <w:p>
      <w:pPr>
        <w:ind w:right="300"/>
        <w:jc w:val="center"/>
        <w:rPr>
          <w:rFonts w:hint="eastAsia" w:ascii="Times New Roman" w:hAnsi="Times New Roman" w:eastAsia="黑体" w:cs="Times New Roman"/>
          <w:color w:val="auto"/>
          <w:kern w:val="2"/>
          <w:sz w:val="52"/>
          <w:szCs w:val="52"/>
          <w:lang w:val="en-US" w:eastAsia="zh-CN" w:bidi="ar-SA"/>
        </w:rPr>
      </w:pPr>
    </w:p>
    <w:p>
      <w:pPr>
        <w:ind w:right="300"/>
        <w:jc w:val="center"/>
        <w:rPr>
          <w:rFonts w:hint="eastAsia" w:ascii="宋体" w:hAnsi="宋体" w:eastAsia="宋体" w:cs="宋体"/>
          <w:b w:val="0"/>
          <w:bCs w:val="0"/>
          <w:color w:val="auto"/>
          <w:sz w:val="40"/>
          <w:szCs w:val="4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40"/>
          <w:szCs w:val="40"/>
          <w:lang w:val="en-US" w:eastAsia="zh-CN"/>
        </w:rPr>
        <w:t>国家外汇管理局广西壮族自治区分局</w:t>
      </w:r>
    </w:p>
    <w:p>
      <w:pPr>
        <w:pStyle w:val="27"/>
        <w:widowControl w:val="0"/>
        <w:wordWrap/>
        <w:autoSpaceDE w:val="0"/>
        <w:autoSpaceDN w:val="0"/>
        <w:adjustRightInd/>
        <w:snapToGrid/>
        <w:spacing w:before="0" w:after="0" w:line="560" w:lineRule="exact"/>
        <w:ind w:left="0" w:leftChars="0" w:right="0" w:firstLine="0" w:firstLineChars="0"/>
        <w:jc w:val="center"/>
        <w:textAlignment w:val="auto"/>
        <w:outlineLvl w:val="1"/>
        <w:rPr>
          <w:rFonts w:hint="eastAsia" w:ascii="宋体" w:hAnsi="宋体" w:eastAsia="宋体" w:cs="宋体"/>
          <w:b w:val="0"/>
          <w:bCs w:val="0"/>
          <w:color w:val="auto"/>
          <w:sz w:val="40"/>
          <w:szCs w:val="40"/>
          <w:lang w:val="en-US" w:eastAsia="zh-CN"/>
        </w:rPr>
      </w:pPr>
    </w:p>
    <w:p>
      <w:pPr>
        <w:ind w:right="300"/>
        <w:jc w:val="center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40"/>
          <w:szCs w:val="40"/>
          <w:lang w:val="en-US" w:eastAsia="zh-CN"/>
        </w:rPr>
        <w:t>202</w:t>
      </w:r>
      <w:r>
        <w:rPr>
          <w:rFonts w:hint="eastAsia" w:ascii="宋体" w:hAnsi="宋体" w:cs="宋体"/>
          <w:b w:val="0"/>
          <w:bCs w:val="0"/>
          <w:color w:val="auto"/>
          <w:sz w:val="40"/>
          <w:szCs w:val="40"/>
          <w:lang w:val="en-US" w:eastAsia="zh-CN"/>
        </w:rPr>
        <w:t>1</w:t>
      </w:r>
      <w:r>
        <w:rPr>
          <w:rFonts w:hint="eastAsia" w:ascii="宋体" w:hAnsi="宋体" w:eastAsia="宋体" w:cs="宋体"/>
          <w:b w:val="0"/>
          <w:bCs w:val="0"/>
          <w:color w:val="auto"/>
          <w:sz w:val="40"/>
          <w:szCs w:val="40"/>
          <w:lang w:val="en-US" w:eastAsia="zh-CN"/>
        </w:rPr>
        <w:t>年</w:t>
      </w:r>
      <w:r>
        <w:rPr>
          <w:rFonts w:hint="eastAsia" w:ascii="宋体" w:hAnsi="宋体" w:cs="宋体"/>
          <w:b w:val="0"/>
          <w:bCs w:val="0"/>
          <w:color w:val="auto"/>
          <w:sz w:val="40"/>
          <w:szCs w:val="40"/>
          <w:lang w:val="en-US" w:eastAsia="zh-CN"/>
        </w:rPr>
        <w:t>12</w:t>
      </w:r>
      <w:bookmarkStart w:id="1" w:name="_GoBack"/>
      <w:bookmarkEnd w:id="1"/>
      <w:r>
        <w:rPr>
          <w:rFonts w:hint="eastAsia" w:ascii="宋体" w:hAnsi="宋体" w:eastAsia="宋体" w:cs="宋体"/>
          <w:b w:val="0"/>
          <w:bCs w:val="0"/>
          <w:color w:val="auto"/>
          <w:sz w:val="40"/>
          <w:szCs w:val="40"/>
          <w:lang w:val="en-US" w:eastAsia="zh-CN"/>
        </w:rPr>
        <w:t>月</w:t>
      </w:r>
    </w:p>
    <w:p>
      <w:pPr>
        <w:adjustRightInd w:val="0"/>
        <w:snapToGrid w:val="0"/>
        <w:spacing w:line="360" w:lineRule="auto"/>
        <w:jc w:val="left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hint="eastAsia" w:ascii="Times New Roman" w:hAnsi="Times New Roman" w:eastAsia="黑体" w:cs="Times New Roman"/>
          <w:color w:val="auto"/>
          <w:sz w:val="30"/>
          <w:szCs w:val="30"/>
          <w:lang w:val="en-US" w:eastAsia="zh-CN"/>
        </w:rPr>
        <w:t xml:space="preserve">    </w:t>
      </w:r>
      <w:r>
        <w:rPr>
          <w:rFonts w:ascii="Times New Roman" w:hAnsi="Times New Roman" w:eastAsia="黑体" w:cs="Times New Roman"/>
          <w:color w:val="auto"/>
          <w:sz w:val="30"/>
          <w:szCs w:val="30"/>
        </w:rPr>
        <w:t>一、项目信息</w:t>
      </w:r>
    </w:p>
    <w:p>
      <w:pPr>
        <w:adjustRightInd w:val="0"/>
        <w:snapToGrid w:val="0"/>
        <w:spacing w:line="360" w:lineRule="auto"/>
        <w:ind w:firstLine="585"/>
        <w:jc w:val="left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项目名称：</w:t>
      </w:r>
      <w:bookmarkStart w:id="0" w:name="_Hlk421820588"/>
      <w:r>
        <w:rPr>
          <w:rFonts w:ascii="Times New Roman" w:hAnsi="Times New Roman" w:eastAsia="仿宋_GB2312" w:cs="Times New Roman"/>
          <w:color w:val="auto"/>
          <w:sz w:val="30"/>
          <w:szCs w:val="30"/>
        </w:rPr>
        <w:t>外汇账户的开立、变更、关闭、撤销以及账户允许保留限额核准</w:t>
      </w:r>
      <w:bookmarkEnd w:id="0"/>
      <w:r>
        <w:rPr>
          <w:rFonts w:ascii="Times New Roman" w:hAnsi="Times New Roman" w:eastAsia="仿宋_GB2312" w:cs="Times New Roman"/>
          <w:color w:val="auto"/>
          <w:sz w:val="30"/>
          <w:szCs w:val="30"/>
        </w:rPr>
        <w:t>；</w:t>
      </w:r>
    </w:p>
    <w:p>
      <w:pPr>
        <w:adjustRightInd w:val="0"/>
        <w:snapToGrid w:val="0"/>
        <w:spacing w:line="360" w:lineRule="auto"/>
        <w:ind w:firstLine="585"/>
        <w:jc w:val="left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项目编号：57017；</w:t>
      </w:r>
    </w:p>
    <w:p>
      <w:pPr>
        <w:adjustRightInd w:val="0"/>
        <w:snapToGrid w:val="0"/>
        <w:spacing w:line="360" w:lineRule="auto"/>
        <w:ind w:firstLine="585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审批类别：行政许可。</w:t>
      </w:r>
    </w:p>
    <w:p>
      <w:pPr>
        <w:adjustRightInd w:val="0"/>
        <w:snapToGrid w:val="0"/>
        <w:spacing w:line="360" w:lineRule="auto"/>
        <w:ind w:firstLine="585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</w:rPr>
        <w:t>二、适用范围</w:t>
      </w:r>
    </w:p>
    <w:p>
      <w:pPr>
        <w:adjustRightInd w:val="0"/>
        <w:snapToGrid w:val="0"/>
        <w:spacing w:line="360" w:lineRule="auto"/>
        <w:ind w:firstLine="585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本指南适用于“外汇账户的开立、变更、关闭、撤销以及账户允许保留限额核准”的申请和办理。</w:t>
      </w:r>
    </w:p>
    <w:p>
      <w:pPr>
        <w:adjustRightInd w:val="0"/>
        <w:snapToGrid w:val="0"/>
        <w:spacing w:line="360" w:lineRule="auto"/>
        <w:ind w:firstLine="585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</w:rPr>
        <w:t>三、设定依据</w:t>
      </w:r>
    </w:p>
    <w:p>
      <w:pPr>
        <w:adjustRightInd w:val="0"/>
        <w:snapToGrid w:val="0"/>
        <w:spacing w:line="360" w:lineRule="auto"/>
        <w:ind w:firstLine="585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《国务院对确需保留的行政审批项目设定行政许可的决定》（国务院令第412号）附件第493项“外汇账户（含边贸人民币结算专用账户）的开立、变更、关闭、撤销以及账户允许保留限额核准。</w:t>
      </w:r>
    </w:p>
    <w:p>
      <w:pPr>
        <w:adjustRightInd w:val="0"/>
        <w:snapToGrid w:val="0"/>
        <w:spacing w:line="360" w:lineRule="auto"/>
        <w:jc w:val="left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hint="eastAsia" w:ascii="Times New Roman" w:hAnsi="Times New Roman" w:eastAsia="黑体" w:cs="Times New Roman"/>
          <w:color w:val="auto"/>
          <w:sz w:val="30"/>
          <w:szCs w:val="30"/>
          <w:lang w:val="en-US" w:eastAsia="zh-CN"/>
        </w:rPr>
        <w:t xml:space="preserve">    </w:t>
      </w:r>
      <w:r>
        <w:rPr>
          <w:rFonts w:ascii="Times New Roman" w:hAnsi="Times New Roman" w:eastAsia="黑体" w:cs="Times New Roman"/>
          <w:color w:val="auto"/>
          <w:sz w:val="30"/>
          <w:szCs w:val="30"/>
        </w:rPr>
        <w:t>四、服务贸易外汇收入存放境外外汇账户审批</w:t>
      </w:r>
    </w:p>
    <w:p>
      <w:pPr>
        <w:adjustRightInd w:val="0"/>
        <w:snapToGrid w:val="0"/>
        <w:spacing w:line="360" w:lineRule="auto"/>
        <w:ind w:firstLine="585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</w:rPr>
        <w:t>（一）办理依据</w:t>
      </w:r>
    </w:p>
    <w:p>
      <w:pPr>
        <w:adjustRightInd w:val="0"/>
        <w:snapToGrid w:val="0"/>
        <w:spacing w:line="360" w:lineRule="auto"/>
        <w:ind w:firstLine="600" w:firstLineChars="2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1.《中华人民共和国外汇管理条例》（国务院令第532号）；</w:t>
      </w:r>
    </w:p>
    <w:p>
      <w:pPr>
        <w:adjustRightInd w:val="0"/>
        <w:snapToGrid w:val="0"/>
        <w:spacing w:line="360" w:lineRule="auto"/>
        <w:ind w:firstLine="600" w:firstLineChars="2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2.</w:t>
      </w:r>
      <w:r>
        <w:rPr>
          <w:rFonts w:ascii="Times New Roman" w:hAnsi="Times New Roman" w:eastAsia="仿宋_GB2312" w:cs="Times New Roman"/>
          <w:bCs/>
          <w:color w:val="auto"/>
          <w:sz w:val="30"/>
          <w:szCs w:val="30"/>
        </w:rPr>
        <w:t>《</w:t>
      </w:r>
      <w:r>
        <w:rPr>
          <w:rFonts w:hint="default" w:ascii="Times New Roman" w:hAnsi="Times New Roman" w:eastAsia="仿宋_GB2312" w:cs="Times New Roman"/>
          <w:bCs/>
          <w:color w:val="auto"/>
          <w:sz w:val="30"/>
          <w:szCs w:val="30"/>
        </w:rPr>
        <w:t>国家外汇管理局关于印发〈经常项目外汇业务指引（2020年版）〉的通知</w:t>
      </w:r>
      <w:r>
        <w:rPr>
          <w:rFonts w:ascii="Times New Roman" w:hAnsi="Times New Roman" w:eastAsia="仿宋_GB2312" w:cs="Times New Roman"/>
          <w:bCs/>
          <w:color w:val="auto"/>
          <w:sz w:val="30"/>
          <w:szCs w:val="30"/>
        </w:rPr>
        <w:t>》（汇发</w:t>
      </w:r>
      <w:r>
        <w:rPr>
          <w:rFonts w:hint="default" w:ascii="Times New Roman" w:hAnsi="Times New Roman" w:eastAsia="仿宋_GB2312" w:cs="Times New Roman"/>
          <w:bCs/>
          <w:color w:val="auto"/>
          <w:sz w:val="30"/>
          <w:szCs w:val="30"/>
        </w:rPr>
        <w:t>〔2020〕14号</w:t>
      </w:r>
      <w:r>
        <w:rPr>
          <w:rFonts w:ascii="Times New Roman" w:hAnsi="Times New Roman" w:eastAsia="仿宋_GB2312" w:cs="Times New Roman"/>
          <w:bCs/>
          <w:color w:val="auto"/>
          <w:sz w:val="30"/>
          <w:szCs w:val="30"/>
        </w:rPr>
        <w:t>）。</w:t>
      </w:r>
    </w:p>
    <w:p>
      <w:pPr>
        <w:adjustRightInd w:val="0"/>
        <w:snapToGrid w:val="0"/>
        <w:spacing w:line="360" w:lineRule="auto"/>
        <w:ind w:firstLine="600" w:firstLineChars="200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</w:rPr>
        <w:t>（二）受理机构</w:t>
      </w:r>
    </w:p>
    <w:p>
      <w:pPr>
        <w:adjustRightInd w:val="0"/>
        <w:snapToGrid w:val="0"/>
        <w:spacing w:line="360" w:lineRule="auto"/>
        <w:ind w:firstLine="600" w:firstLineChars="200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申请人注册所在地国家外汇管理局分支局。</w:t>
      </w:r>
    </w:p>
    <w:p>
      <w:pPr>
        <w:adjustRightInd w:val="0"/>
        <w:snapToGrid w:val="0"/>
        <w:spacing w:line="360" w:lineRule="auto"/>
        <w:ind w:firstLine="600" w:firstLineChars="200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</w:rPr>
        <w:t>（三）决定机构</w:t>
      </w:r>
    </w:p>
    <w:p>
      <w:pPr>
        <w:adjustRightInd w:val="0"/>
        <w:snapToGrid w:val="0"/>
        <w:spacing w:line="360" w:lineRule="auto"/>
        <w:ind w:firstLine="600" w:firstLineChars="2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申请人注册所在地国家外汇管理局分支局。</w:t>
      </w:r>
    </w:p>
    <w:p>
      <w:pPr>
        <w:adjustRightInd w:val="0"/>
        <w:snapToGrid w:val="0"/>
        <w:spacing w:line="360" w:lineRule="auto"/>
        <w:ind w:firstLine="600" w:firstLineChars="200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</w:rPr>
        <w:t>（四）审批数量</w:t>
      </w:r>
    </w:p>
    <w:p>
      <w:pPr>
        <w:adjustRightInd w:val="0"/>
        <w:snapToGrid w:val="0"/>
        <w:spacing w:line="360" w:lineRule="auto"/>
        <w:ind w:firstLine="600" w:firstLineChars="2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无数量限制。</w:t>
      </w:r>
    </w:p>
    <w:p>
      <w:pPr>
        <w:adjustRightInd w:val="0"/>
        <w:snapToGrid w:val="0"/>
        <w:spacing w:line="360" w:lineRule="auto"/>
        <w:ind w:firstLine="600" w:firstLineChars="200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</w:rPr>
        <w:t>（五）办事条件</w:t>
      </w:r>
    </w:p>
    <w:p>
      <w:pPr>
        <w:adjustRightInd w:val="0"/>
        <w:snapToGrid w:val="0"/>
        <w:spacing w:line="360" w:lineRule="auto"/>
        <w:ind w:firstLine="600" w:firstLineChars="2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申请人为境内机构，需同时符合以下条件：</w:t>
      </w:r>
    </w:p>
    <w:p>
      <w:pPr>
        <w:adjustRightInd w:val="0"/>
        <w:snapToGrid w:val="0"/>
        <w:spacing w:line="360" w:lineRule="auto"/>
        <w:ind w:firstLine="600" w:firstLineChars="2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1.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</w:rPr>
        <w:t>服务贸易外汇收入来源真实合法，且在境外有符合相关规定的支付需求</w:t>
      </w:r>
      <w:r>
        <w:rPr>
          <w:rFonts w:ascii="Times New Roman" w:hAnsi="Times New Roman" w:eastAsia="仿宋_GB2312" w:cs="Times New Roman"/>
          <w:color w:val="auto"/>
          <w:sz w:val="30"/>
          <w:szCs w:val="30"/>
        </w:rPr>
        <w:t>；</w:t>
      </w:r>
    </w:p>
    <w:p>
      <w:pPr>
        <w:adjustRightInd w:val="0"/>
        <w:snapToGrid w:val="0"/>
        <w:spacing w:line="360" w:lineRule="auto"/>
        <w:ind w:firstLine="600" w:firstLineChars="2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2.近两年无违反外汇管理规定行为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</w:rPr>
        <w:t>。</w:t>
      </w:r>
    </w:p>
    <w:p>
      <w:pPr>
        <w:adjustRightInd w:val="0"/>
        <w:snapToGrid w:val="0"/>
        <w:spacing w:line="360" w:lineRule="auto"/>
        <w:ind w:firstLine="600" w:firstLineChars="2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禁止性要求：申请材料不齐全，不符合法规规定。</w:t>
      </w:r>
    </w:p>
    <w:p>
      <w:pPr>
        <w:adjustRightInd w:val="0"/>
        <w:snapToGrid w:val="0"/>
        <w:spacing w:line="360" w:lineRule="auto"/>
        <w:ind w:firstLine="600" w:firstLineChars="200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</w:rPr>
        <w:t>（六）申请材料</w:t>
      </w:r>
    </w:p>
    <w:p>
      <w:pPr>
        <w:adjustRightInd w:val="0"/>
        <w:snapToGrid w:val="0"/>
        <w:spacing w:line="360" w:lineRule="auto"/>
        <w:ind w:firstLine="600" w:firstLineChars="2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 xml:space="preserve">1. 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</w:rPr>
        <w:t>服务贸易外汇收入存放境外外汇账户开立申请材料</w:t>
      </w:r>
    </w:p>
    <w:tbl>
      <w:tblPr>
        <w:tblStyle w:val="18"/>
        <w:tblW w:w="861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7"/>
        <w:gridCol w:w="2061"/>
        <w:gridCol w:w="1134"/>
        <w:gridCol w:w="1134"/>
        <w:gridCol w:w="851"/>
        <w:gridCol w:w="1701"/>
        <w:gridCol w:w="127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2061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  <w:t>提交材料名称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  <w:t>原件/</w:t>
            </w:r>
          </w:p>
          <w:p>
            <w:pPr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  <w:t>复印件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  <w:t>份数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  <w:t>纸质/</w:t>
            </w:r>
          </w:p>
          <w:p>
            <w:pPr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  <w:t>电子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  <w:t>要求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2061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申请书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原件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纸质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</w:rPr>
              <w:t>/电子</w:t>
            </w:r>
          </w:p>
        </w:tc>
        <w:tc>
          <w:tcPr>
            <w:tcW w:w="1701" w:type="dxa"/>
            <w:vAlign w:val="top"/>
          </w:tcPr>
          <w:p>
            <w:pP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包括但不限于基本情况、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</w:rPr>
              <w:t>服务贸易</w:t>
            </w: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开展情况、拟开户银行、使用期限、根据实际需要申请的存放境外资金规模等</w:t>
            </w:r>
          </w:p>
        </w:tc>
        <w:tc>
          <w:tcPr>
            <w:tcW w:w="1275" w:type="dxa"/>
            <w:vAlign w:val="top"/>
          </w:tcPr>
          <w:p>
            <w:pP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</w:rPr>
              <w:t>法定代表人或其授权人签字并加盖企业公章</w:t>
            </w:r>
          </w:p>
        </w:tc>
      </w:tr>
    </w:tbl>
    <w:p>
      <w:pPr>
        <w:adjustRightInd w:val="0"/>
        <w:snapToGrid w:val="0"/>
        <w:spacing w:beforeLines="50" w:line="360" w:lineRule="auto"/>
        <w:ind w:firstLine="600" w:firstLineChars="2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hint="eastAsia" w:ascii="Times New Roman" w:hAnsi="Times New Roman" w:eastAsia="仿宋_GB2312" w:cs="Times New Roman"/>
          <w:color w:val="auto"/>
          <w:sz w:val="30"/>
          <w:szCs w:val="30"/>
        </w:rPr>
        <w:t>2.</w:t>
      </w:r>
      <w:r>
        <w:rPr>
          <w:rFonts w:ascii="Times New Roman" w:hAnsi="Times New Roman" w:eastAsia="仿宋_GB2312" w:cs="Times New Roman"/>
          <w:color w:val="auto"/>
          <w:sz w:val="30"/>
          <w:szCs w:val="30"/>
        </w:rPr>
        <w:t xml:space="preserve"> 服务贸易外汇收入存放境外外汇账户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</w:rPr>
        <w:t>变更申请材料</w:t>
      </w:r>
    </w:p>
    <w:tbl>
      <w:tblPr>
        <w:tblStyle w:val="18"/>
        <w:tblW w:w="861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7"/>
        <w:gridCol w:w="2061"/>
        <w:gridCol w:w="1134"/>
        <w:gridCol w:w="1134"/>
        <w:gridCol w:w="851"/>
        <w:gridCol w:w="1701"/>
        <w:gridCol w:w="127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2061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  <w:t>提交材料名称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  <w:t>原件/</w:t>
            </w:r>
          </w:p>
          <w:p>
            <w:pPr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  <w:t>复印件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  <w:t>份数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  <w:t>纸质/</w:t>
            </w:r>
          </w:p>
          <w:p>
            <w:pPr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  <w:t>电子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  <w:t>要求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2061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申请书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原件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纸质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</w:rPr>
              <w:t>/电子</w:t>
            </w:r>
          </w:p>
        </w:tc>
        <w:tc>
          <w:tcPr>
            <w:tcW w:w="1701" w:type="dxa"/>
            <w:vAlign w:val="top"/>
          </w:tcPr>
          <w:p>
            <w:pP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</w:rPr>
              <w:t>列明变更事项（开户银行、收支范围、使用期限、需提高存放境外资金规模或境内企业集团调整参与成员公司）</w:t>
            </w:r>
          </w:p>
        </w:tc>
        <w:tc>
          <w:tcPr>
            <w:tcW w:w="1275" w:type="dxa"/>
            <w:vAlign w:val="top"/>
          </w:tcPr>
          <w:p>
            <w:pP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</w:rPr>
              <w:t>法定代表人或其授权人签字并加盖企业公章，境内企业集团应由主办企业申请变更登记</w:t>
            </w:r>
          </w:p>
        </w:tc>
      </w:tr>
    </w:tbl>
    <w:p>
      <w:pPr>
        <w:adjustRightInd w:val="0"/>
        <w:snapToGrid w:val="0"/>
        <w:spacing w:line="360" w:lineRule="auto"/>
        <w:ind w:firstLine="0" w:firstLineChars="0"/>
        <w:rPr>
          <w:rFonts w:ascii="Times New Roman" w:hAnsi="Times New Roman" w:eastAsia="黑体" w:cs="Times New Roman"/>
          <w:color w:val="auto"/>
          <w:sz w:val="30"/>
          <w:szCs w:val="30"/>
        </w:rPr>
      </w:pPr>
    </w:p>
    <w:p>
      <w:pPr>
        <w:adjustRightInd w:val="0"/>
        <w:snapToGrid w:val="0"/>
        <w:spacing w:line="360" w:lineRule="auto"/>
        <w:ind w:firstLine="600" w:firstLineChars="200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</w:rPr>
        <w:t>（七）申请接受</w:t>
      </w:r>
    </w:p>
    <w:p>
      <w:pPr>
        <w:adjustRightInd w:val="0"/>
        <w:snapToGrid w:val="0"/>
        <w:spacing w:line="360" w:lineRule="auto"/>
        <w:ind w:firstLine="600" w:firstLineChars="2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申请人可通过国家外汇管理局分支局窗口提交材料。</w:t>
      </w:r>
    </w:p>
    <w:p>
      <w:pPr>
        <w:adjustRightInd w:val="0"/>
        <w:snapToGrid w:val="0"/>
        <w:spacing w:line="360" w:lineRule="auto"/>
        <w:ind w:firstLine="600" w:firstLineChars="200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</w:rPr>
        <w:t>（八）基本办理流程</w:t>
      </w:r>
    </w:p>
    <w:p>
      <w:pPr>
        <w:adjustRightInd w:val="0"/>
        <w:snapToGrid w:val="0"/>
        <w:spacing w:line="360" w:lineRule="auto"/>
        <w:ind w:firstLine="600"/>
        <w:jc w:val="left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1.申请人提交申请；</w:t>
      </w:r>
    </w:p>
    <w:p>
      <w:pPr>
        <w:adjustRightInd w:val="0"/>
        <w:snapToGrid w:val="0"/>
        <w:spacing w:line="360" w:lineRule="auto"/>
        <w:ind w:firstLine="600"/>
        <w:jc w:val="left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2.决定是否予以受理；</w:t>
      </w:r>
    </w:p>
    <w:p>
      <w:pPr>
        <w:adjustRightInd w:val="0"/>
        <w:snapToGrid w:val="0"/>
        <w:spacing w:line="360" w:lineRule="auto"/>
        <w:ind w:firstLine="600"/>
        <w:jc w:val="left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3.不予受理的，出具不予受理通知书；受理的，出具受理通知书，审核作出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</w:rPr>
        <w:t>核</w:t>
      </w:r>
      <w:r>
        <w:rPr>
          <w:rFonts w:ascii="Times New Roman" w:hAnsi="Times New Roman" w:eastAsia="仿宋_GB2312" w:cs="Times New Roman"/>
          <w:color w:val="auto"/>
          <w:sz w:val="30"/>
          <w:szCs w:val="30"/>
        </w:rPr>
        <w:t>准或者不予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</w:rPr>
        <w:t>核</w:t>
      </w:r>
      <w:r>
        <w:rPr>
          <w:rFonts w:ascii="Times New Roman" w:hAnsi="Times New Roman" w:eastAsia="仿宋_GB2312" w:cs="Times New Roman"/>
          <w:color w:val="auto"/>
          <w:sz w:val="30"/>
          <w:szCs w:val="30"/>
        </w:rPr>
        <w:t>准的决定；</w:t>
      </w:r>
    </w:p>
    <w:p>
      <w:pPr>
        <w:adjustRightInd w:val="0"/>
        <w:snapToGrid w:val="0"/>
        <w:spacing w:line="360" w:lineRule="auto"/>
        <w:ind w:firstLine="600"/>
        <w:jc w:val="left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4.对于符合规定条件，向申请人出具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</w:rPr>
        <w:t>核</w:t>
      </w:r>
      <w:r>
        <w:rPr>
          <w:rFonts w:ascii="Times New Roman" w:hAnsi="Times New Roman" w:eastAsia="仿宋_GB2312" w:cs="Times New Roman"/>
          <w:color w:val="auto"/>
          <w:sz w:val="30"/>
          <w:szCs w:val="30"/>
        </w:rPr>
        <w:t>准文件；不予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</w:rPr>
        <w:t>核</w:t>
      </w:r>
      <w:r>
        <w:rPr>
          <w:rFonts w:ascii="Times New Roman" w:hAnsi="Times New Roman" w:eastAsia="仿宋_GB2312" w:cs="Times New Roman"/>
          <w:color w:val="auto"/>
          <w:sz w:val="30"/>
          <w:szCs w:val="30"/>
        </w:rPr>
        <w:t>准的，做出不予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</w:rPr>
        <w:t>核</w:t>
      </w:r>
      <w:r>
        <w:rPr>
          <w:rFonts w:ascii="Times New Roman" w:hAnsi="Times New Roman" w:eastAsia="仿宋_GB2312" w:cs="Times New Roman"/>
          <w:color w:val="auto"/>
          <w:sz w:val="30"/>
          <w:szCs w:val="30"/>
        </w:rPr>
        <w:t>准的行政许可书面决定并说明理由；</w:t>
      </w:r>
    </w:p>
    <w:p>
      <w:pPr>
        <w:adjustRightInd w:val="0"/>
        <w:snapToGrid w:val="0"/>
        <w:spacing w:line="360" w:lineRule="auto"/>
        <w:ind w:firstLine="600"/>
        <w:jc w:val="left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5.材料不全或不符合法定形式的，一次性告知补正材料，并出具《行政许可补正通知书》；</w:t>
      </w:r>
    </w:p>
    <w:p>
      <w:pPr>
        <w:adjustRightInd w:val="0"/>
        <w:snapToGrid w:val="0"/>
        <w:spacing w:line="360" w:lineRule="auto"/>
        <w:ind w:firstLine="600" w:firstLineChars="200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</w:rPr>
        <w:t>（九）办理方式</w:t>
      </w:r>
    </w:p>
    <w:p>
      <w:pPr>
        <w:adjustRightInd w:val="0"/>
        <w:snapToGrid w:val="0"/>
        <w:spacing w:line="360" w:lineRule="auto"/>
        <w:ind w:firstLine="600" w:firstLineChars="200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一般程序：申请、受理、审查、决定、出具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</w:rPr>
        <w:t>核准</w:t>
      </w:r>
      <w:r>
        <w:rPr>
          <w:rFonts w:ascii="Times New Roman" w:hAnsi="Times New Roman" w:eastAsia="仿宋_GB2312" w:cs="Times New Roman"/>
          <w:color w:val="auto"/>
          <w:sz w:val="30"/>
          <w:szCs w:val="30"/>
        </w:rPr>
        <w:t>文件或不予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</w:rPr>
        <w:t>核准</w:t>
      </w:r>
      <w:r>
        <w:rPr>
          <w:rFonts w:ascii="Times New Roman" w:hAnsi="Times New Roman" w:eastAsia="仿宋_GB2312" w:cs="Times New Roman"/>
          <w:color w:val="auto"/>
          <w:sz w:val="30"/>
          <w:szCs w:val="30"/>
        </w:rPr>
        <w:t>的行政许可书面决定。</w:t>
      </w:r>
    </w:p>
    <w:p>
      <w:pPr>
        <w:adjustRightInd w:val="0"/>
        <w:snapToGrid w:val="0"/>
        <w:spacing w:line="360" w:lineRule="auto"/>
        <w:ind w:firstLine="600" w:firstLineChars="200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</w:rPr>
        <w:t>（十）审批时限</w:t>
      </w:r>
    </w:p>
    <w:p>
      <w:pPr>
        <w:adjustRightInd w:val="0"/>
        <w:snapToGrid w:val="0"/>
        <w:spacing w:line="360" w:lineRule="auto"/>
        <w:ind w:firstLine="585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20个工作日。</w:t>
      </w:r>
    </w:p>
    <w:p>
      <w:pPr>
        <w:adjustRightInd w:val="0"/>
        <w:snapToGrid w:val="0"/>
        <w:spacing w:line="360" w:lineRule="auto"/>
        <w:ind w:firstLine="585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</w:rPr>
        <w:t>（十一）审批收费依据及标准</w:t>
      </w:r>
    </w:p>
    <w:p>
      <w:pPr>
        <w:adjustRightInd w:val="0"/>
        <w:snapToGrid w:val="0"/>
        <w:spacing w:line="360" w:lineRule="auto"/>
        <w:ind w:firstLine="585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不收费。</w:t>
      </w:r>
    </w:p>
    <w:p>
      <w:pPr>
        <w:adjustRightInd w:val="0"/>
        <w:snapToGrid w:val="0"/>
        <w:spacing w:line="360" w:lineRule="auto"/>
        <w:ind w:firstLine="600" w:firstLineChars="200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</w:rPr>
        <w:t>（十二）审批结果</w:t>
      </w:r>
    </w:p>
    <w:p>
      <w:pPr>
        <w:adjustRightInd w:val="0"/>
        <w:snapToGrid w:val="0"/>
        <w:spacing w:line="360" w:lineRule="auto"/>
        <w:ind w:firstLine="6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hint="eastAsia" w:ascii="Times New Roman" w:hAnsi="Times New Roman" w:eastAsia="仿宋_GB2312" w:cs="Times New Roman"/>
          <w:color w:val="auto"/>
          <w:sz w:val="30"/>
          <w:szCs w:val="30"/>
        </w:rPr>
        <w:t>核准</w:t>
      </w:r>
      <w:r>
        <w:rPr>
          <w:rFonts w:ascii="Times New Roman" w:hAnsi="Times New Roman" w:eastAsia="仿宋_GB2312" w:cs="Times New Roman"/>
          <w:color w:val="auto"/>
          <w:sz w:val="30"/>
          <w:szCs w:val="30"/>
        </w:rPr>
        <w:t>文件。</w:t>
      </w:r>
    </w:p>
    <w:p>
      <w:pPr>
        <w:adjustRightInd w:val="0"/>
        <w:snapToGrid w:val="0"/>
        <w:spacing w:line="360" w:lineRule="auto"/>
        <w:ind w:firstLine="600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</w:rPr>
        <w:t>（十三）结果送达</w:t>
      </w:r>
    </w:p>
    <w:p>
      <w:pPr>
        <w:adjustRightInd w:val="0"/>
        <w:snapToGrid w:val="0"/>
        <w:spacing w:line="360" w:lineRule="auto"/>
        <w:ind w:firstLine="6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通过现场告知或电话通知申请人，并通过现场领取或邮寄方式将结果送达。</w:t>
      </w:r>
    </w:p>
    <w:p>
      <w:pPr>
        <w:adjustRightInd w:val="0"/>
        <w:snapToGrid w:val="0"/>
        <w:spacing w:line="360" w:lineRule="auto"/>
        <w:ind w:firstLine="600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</w:rPr>
        <w:t>（十四）申请人权利和义务</w:t>
      </w:r>
    </w:p>
    <w:p>
      <w:pPr>
        <w:adjustRightInd w:val="0"/>
        <w:snapToGrid w:val="0"/>
        <w:spacing w:line="360" w:lineRule="auto"/>
        <w:ind w:firstLine="6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申请人有权依法提出行政审批申请，依法进行投诉、举报、复议、诉讼等。申请人有义务保证申请材料完整、真实、准确，获批后合法合规办理相关业务。</w:t>
      </w:r>
    </w:p>
    <w:p>
      <w:pPr>
        <w:adjustRightInd w:val="0"/>
        <w:snapToGrid w:val="0"/>
        <w:spacing w:line="360" w:lineRule="auto"/>
        <w:ind w:firstLine="6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</w:rPr>
        <w:t>（十五）咨询途径、监督和投诉、公开查询等由所在地分支局办理</w:t>
      </w:r>
    </w:p>
    <w:p>
      <w:pPr>
        <w:adjustRightInd w:val="0"/>
        <w:snapToGrid w:val="0"/>
        <w:spacing w:line="360" w:lineRule="auto"/>
        <w:ind w:firstLine="601"/>
        <w:rPr>
          <w:rFonts w:hint="eastAsia" w:ascii="Times New Roman" w:hAnsi="Times New Roman" w:eastAsia="仿宋_GB2312" w:cs="Times New Roman"/>
          <w:b/>
          <w:bCs/>
          <w:color w:val="auto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/>
          <w:color w:val="auto"/>
          <w:sz w:val="30"/>
          <w:szCs w:val="30"/>
          <w:lang w:val="en-US" w:eastAsia="zh-CN"/>
        </w:rPr>
        <w:t>1.国家外汇管理局广西壮族自治区分局</w:t>
      </w:r>
    </w:p>
    <w:p>
      <w:pPr>
        <w:adjustRightInd w:val="0"/>
        <w:snapToGrid w:val="0"/>
        <w:spacing w:line="360" w:lineRule="auto"/>
        <w:ind w:firstLine="601"/>
        <w:rPr>
          <w:rFonts w:hint="eastAsia" w:ascii="Times New Roman" w:hAnsi="Times New Roman" w:eastAsia="仿宋_GB2312" w:cs="Times New Roman"/>
          <w:b/>
          <w:bCs/>
          <w:color w:val="auto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/>
          <w:color w:val="auto"/>
          <w:sz w:val="30"/>
          <w:szCs w:val="30"/>
          <w:lang w:val="en-US" w:eastAsia="zh-CN"/>
        </w:rPr>
        <w:t>（1）咨询途径</w:t>
      </w:r>
    </w:p>
    <w:p>
      <w:pPr>
        <w:adjustRightInd w:val="0"/>
        <w:snapToGrid w:val="0"/>
        <w:spacing w:line="360" w:lineRule="auto"/>
        <w:ind w:firstLine="601"/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  <w:t>现场咨询：广西南宁市青秀区滨湖路58号中国人民银行南宁中心支行七楼704室。</w:t>
      </w:r>
    </w:p>
    <w:p>
      <w:pPr>
        <w:adjustRightInd w:val="0"/>
        <w:snapToGrid w:val="0"/>
        <w:spacing w:line="360" w:lineRule="auto"/>
        <w:ind w:firstLine="601"/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  <w:t>电话咨询：0771-6111216、0771-6111312</w:t>
      </w:r>
    </w:p>
    <w:p>
      <w:pPr>
        <w:adjustRightInd w:val="0"/>
        <w:snapToGrid w:val="0"/>
        <w:spacing w:line="360" w:lineRule="auto"/>
        <w:ind w:firstLine="601"/>
        <w:rPr>
          <w:rFonts w:hint="eastAsia" w:ascii="Times New Roman" w:hAnsi="Times New Roman" w:eastAsia="仿宋_GB2312" w:cs="Times New Roman"/>
          <w:color w:val="auto"/>
          <w:sz w:val="30"/>
          <w:szCs w:val="30"/>
          <w:lang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  <w:t>网站咨询：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eastAsia="zh-CN"/>
        </w:rPr>
        <w:t>国家外汇管理局广西壮族自治区分局官方网站（www.safe.gov.cn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  <w:t>/guangxi/）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eastAsia="zh-CN"/>
        </w:rPr>
        <w:t>咨询反馈栏目。</w:t>
      </w:r>
    </w:p>
    <w:p>
      <w:pPr>
        <w:adjustRightInd w:val="0"/>
        <w:snapToGrid w:val="0"/>
        <w:spacing w:line="360" w:lineRule="auto"/>
        <w:ind w:firstLine="601"/>
        <w:rPr>
          <w:rFonts w:hint="eastAsia" w:ascii="Times New Roman" w:hAnsi="Times New Roman" w:eastAsia="仿宋_GB2312" w:cs="Times New Roman"/>
          <w:b/>
          <w:bCs/>
          <w:color w:val="auto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/>
          <w:color w:val="auto"/>
          <w:sz w:val="30"/>
          <w:szCs w:val="30"/>
          <w:lang w:val="en-US" w:eastAsia="zh-CN"/>
        </w:rPr>
        <w:t>（2）监督和投诉途径</w:t>
      </w:r>
    </w:p>
    <w:p>
      <w:pPr>
        <w:adjustRightInd w:val="0"/>
        <w:snapToGrid w:val="0"/>
        <w:spacing w:line="360" w:lineRule="auto"/>
        <w:ind w:firstLine="601"/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  <w:t>电话投诉：0771-6111357</w:t>
      </w:r>
    </w:p>
    <w:p>
      <w:pPr>
        <w:adjustRightInd w:val="0"/>
        <w:snapToGrid w:val="0"/>
        <w:spacing w:line="360" w:lineRule="auto"/>
        <w:ind w:firstLine="601"/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  <w:t>电子邮箱投诉：gxwgwg@163.com</w:t>
      </w:r>
    </w:p>
    <w:p>
      <w:pPr>
        <w:adjustRightInd w:val="0"/>
        <w:snapToGrid w:val="0"/>
        <w:spacing w:line="360" w:lineRule="auto"/>
        <w:ind w:firstLine="601"/>
        <w:rPr>
          <w:rFonts w:hint="eastAsia" w:ascii="Times New Roman" w:hAnsi="Times New Roman" w:eastAsia="仿宋_GB2312" w:cs="Times New Roman"/>
          <w:color w:val="auto"/>
          <w:sz w:val="30"/>
          <w:szCs w:val="30"/>
          <w:lang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  <w:t>网站投诉：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eastAsia="zh-CN"/>
        </w:rPr>
        <w:t>国家外汇管理局广西壮族自治区分局官方网站（www.safe.gov.cn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  <w:t>/guangxi/）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eastAsia="zh-CN"/>
        </w:rPr>
        <w:t>咨询反馈栏目。</w:t>
      </w:r>
    </w:p>
    <w:p>
      <w:pPr>
        <w:adjustRightInd w:val="0"/>
        <w:snapToGrid w:val="0"/>
        <w:spacing w:line="360" w:lineRule="auto"/>
        <w:ind w:firstLine="601"/>
        <w:rPr>
          <w:rFonts w:hint="eastAsia" w:ascii="Times New Roman" w:hAnsi="Times New Roman" w:eastAsia="仿宋_GB2312" w:cs="Times New Roman"/>
          <w:b/>
          <w:bCs/>
          <w:color w:val="auto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/>
          <w:color w:val="auto"/>
          <w:sz w:val="30"/>
          <w:szCs w:val="30"/>
          <w:lang w:val="en-US" w:eastAsia="zh-CN"/>
        </w:rPr>
        <w:t>（3）</w:t>
      </w:r>
      <w:r>
        <w:rPr>
          <w:rFonts w:hint="eastAsia" w:ascii="Times New Roman" w:hAnsi="Times New Roman" w:eastAsia="仿宋_GB2312" w:cs="Times New Roman"/>
          <w:b/>
          <w:bCs/>
          <w:color w:val="auto"/>
          <w:sz w:val="30"/>
          <w:szCs w:val="30"/>
          <w:lang w:eastAsia="zh-CN"/>
        </w:rPr>
        <w:t>公开</w:t>
      </w:r>
      <w:r>
        <w:rPr>
          <w:rFonts w:hint="eastAsia" w:ascii="Times New Roman" w:hAnsi="Times New Roman" w:eastAsia="仿宋_GB2312" w:cs="Times New Roman"/>
          <w:b/>
          <w:bCs/>
          <w:color w:val="auto"/>
          <w:sz w:val="30"/>
          <w:szCs w:val="30"/>
        </w:rPr>
        <w:t>查询</w:t>
      </w:r>
      <w:r>
        <w:rPr>
          <w:rFonts w:hint="eastAsia" w:ascii="Times New Roman" w:hAnsi="Times New Roman" w:eastAsia="仿宋_GB2312" w:cs="Times New Roman"/>
          <w:b/>
          <w:bCs/>
          <w:color w:val="auto"/>
          <w:sz w:val="30"/>
          <w:szCs w:val="30"/>
          <w:lang w:eastAsia="zh-CN"/>
        </w:rPr>
        <w:t>途径</w:t>
      </w:r>
    </w:p>
    <w:p>
      <w:pPr>
        <w:adjustRightInd w:val="0"/>
        <w:snapToGrid w:val="0"/>
        <w:spacing w:line="360" w:lineRule="auto"/>
        <w:ind w:firstLine="601"/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  <w:t>现场查询：广西南宁市青秀区滨湖路58号中国人民银行南宁中心支行七楼704室。</w:t>
      </w:r>
    </w:p>
    <w:p>
      <w:pPr>
        <w:adjustRightInd w:val="0"/>
        <w:snapToGrid w:val="0"/>
        <w:spacing w:line="360" w:lineRule="auto"/>
        <w:ind w:firstLine="601"/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  <w:t>电话查询：0771-6111216、0771-6111312</w:t>
      </w:r>
    </w:p>
    <w:p>
      <w:pPr>
        <w:numPr>
          <w:ilvl w:val="0"/>
          <w:numId w:val="1"/>
        </w:numPr>
        <w:adjustRightInd w:val="0"/>
        <w:snapToGrid w:val="0"/>
        <w:spacing w:line="360" w:lineRule="auto"/>
        <w:ind w:firstLine="600"/>
        <w:rPr>
          <w:rFonts w:hint="eastAsia" w:ascii="Times New Roman" w:hAnsi="Times New Roman" w:eastAsia="仿宋_GB2312" w:cs="Times New Roman"/>
          <w:b/>
          <w:bCs/>
          <w:color w:val="auto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/>
          <w:color w:val="auto"/>
          <w:sz w:val="30"/>
          <w:szCs w:val="30"/>
          <w:lang w:val="en-US" w:eastAsia="zh-CN"/>
        </w:rPr>
        <w:t>国家外汇管理局广西区各市中心支局</w:t>
      </w:r>
    </w:p>
    <w:p>
      <w:pPr>
        <w:adjustRightInd w:val="0"/>
        <w:snapToGrid w:val="0"/>
        <w:spacing w:line="360" w:lineRule="auto"/>
        <w:ind w:firstLine="6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  <w:t>咨询途径、监督和投诉途径、公开查询途径可通过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eastAsia="zh-CN"/>
        </w:rPr>
        <w:t>国家外汇管理局广西壮族自治区分局官方网站（www.safe.gov.cn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  <w:t>/guangxi/）机构设置栏目所示地址和电话进行相应查询。</w:t>
      </w:r>
    </w:p>
    <w:p>
      <w:pPr>
        <w:adjustRightInd w:val="0"/>
        <w:snapToGrid w:val="0"/>
        <w:spacing w:line="360" w:lineRule="auto"/>
        <w:ind w:firstLine="600" w:firstLineChars="200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</w:rPr>
        <w:t>（十六）事项审查类型</w:t>
      </w:r>
    </w:p>
    <w:p>
      <w:pPr>
        <w:adjustRightInd w:val="0"/>
        <w:snapToGrid w:val="0"/>
        <w:spacing w:line="360" w:lineRule="auto"/>
        <w:ind w:firstLine="600" w:firstLineChars="2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前审后批。</w:t>
      </w:r>
    </w:p>
    <w:p>
      <w:pPr>
        <w:adjustRightInd w:val="0"/>
        <w:snapToGrid w:val="0"/>
        <w:spacing w:line="360" w:lineRule="auto"/>
        <w:ind w:firstLine="600" w:firstLineChars="200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</w:rPr>
        <w:t>（十七）办公地址和时间</w:t>
      </w:r>
    </w:p>
    <w:p>
      <w:pPr>
        <w:adjustRightInd w:val="0"/>
        <w:snapToGrid w:val="0"/>
        <w:spacing w:line="360" w:lineRule="auto"/>
        <w:ind w:firstLine="600" w:firstLineChars="200"/>
        <w:rPr>
          <w:rFonts w:hint="eastAsia" w:ascii="仿宋_GB2312" w:hAnsi="Times New Roman" w:eastAsia="仿宋_GB2312"/>
          <w:b/>
          <w:bCs/>
          <w:color w:val="auto"/>
          <w:sz w:val="30"/>
          <w:szCs w:val="30"/>
        </w:rPr>
      </w:pPr>
      <w:r>
        <w:rPr>
          <w:rFonts w:hint="eastAsia" w:ascii="仿宋_GB2312" w:hAnsi="Times New Roman" w:eastAsia="仿宋_GB2312"/>
          <w:b/>
          <w:bCs/>
          <w:color w:val="auto"/>
          <w:sz w:val="30"/>
          <w:szCs w:val="30"/>
          <w:lang w:val="en-US" w:eastAsia="zh-CN"/>
        </w:rPr>
        <w:t>1.</w:t>
      </w:r>
      <w:r>
        <w:rPr>
          <w:rFonts w:hint="eastAsia" w:ascii="仿宋_GB2312" w:hAnsi="Times New Roman" w:eastAsia="仿宋_GB2312"/>
          <w:b/>
          <w:bCs/>
          <w:color w:val="auto"/>
          <w:sz w:val="30"/>
          <w:szCs w:val="30"/>
        </w:rPr>
        <w:t>国家外汇管理局广西壮族自治区分局</w:t>
      </w:r>
    </w:p>
    <w:p>
      <w:pPr>
        <w:adjustRightInd w:val="0"/>
        <w:snapToGrid w:val="0"/>
        <w:spacing w:line="360" w:lineRule="auto"/>
        <w:rPr>
          <w:rFonts w:hint="eastAsia" w:ascii="仿宋_GB2312" w:hAnsi="Times New Roman" w:eastAsia="仿宋_GB2312"/>
          <w:color w:val="auto"/>
          <w:sz w:val="30"/>
          <w:szCs w:val="30"/>
        </w:rPr>
      </w:pPr>
      <w:r>
        <w:rPr>
          <w:rFonts w:hint="eastAsia" w:ascii="仿宋_GB2312" w:hAnsi="Times New Roman" w:eastAsia="仿宋_GB2312"/>
          <w:color w:val="auto"/>
          <w:sz w:val="30"/>
          <w:szCs w:val="30"/>
          <w:lang w:val="en-US" w:eastAsia="zh-CN"/>
        </w:rPr>
        <w:t xml:space="preserve">    办公</w:t>
      </w:r>
      <w:r>
        <w:rPr>
          <w:rFonts w:hint="eastAsia" w:ascii="仿宋_GB2312" w:hAnsi="Times New Roman" w:eastAsia="仿宋_GB2312"/>
          <w:color w:val="auto"/>
          <w:sz w:val="30"/>
          <w:szCs w:val="30"/>
        </w:rPr>
        <w:t>地址：广西南宁市青秀区滨湖路58号中国人民银行南宁中心支行</w:t>
      </w:r>
      <w:r>
        <w:rPr>
          <w:rFonts w:hint="eastAsia" w:ascii="仿宋_GB2312" w:hAnsi="Times New Roman" w:eastAsia="仿宋_GB2312"/>
          <w:color w:val="auto"/>
          <w:sz w:val="30"/>
          <w:szCs w:val="30"/>
          <w:lang w:eastAsia="zh-CN"/>
        </w:rPr>
        <w:t>七楼704室</w:t>
      </w:r>
      <w:r>
        <w:rPr>
          <w:rFonts w:hint="eastAsia" w:ascii="仿宋_GB2312" w:hAnsi="Times New Roman" w:eastAsia="仿宋_GB2312"/>
          <w:color w:val="auto"/>
          <w:sz w:val="30"/>
          <w:szCs w:val="30"/>
        </w:rPr>
        <w:t>。</w:t>
      </w:r>
    </w:p>
    <w:p>
      <w:pPr>
        <w:adjustRightInd w:val="0"/>
        <w:snapToGrid w:val="0"/>
        <w:spacing w:line="360" w:lineRule="auto"/>
        <w:ind w:firstLine="600" w:firstLineChars="200"/>
        <w:rPr>
          <w:rFonts w:hint="eastAsia" w:ascii="仿宋_GB2312" w:hAnsi="Times New Roman" w:eastAsia="仿宋_GB2312"/>
          <w:color w:val="auto"/>
          <w:sz w:val="30"/>
          <w:szCs w:val="30"/>
        </w:rPr>
      </w:pPr>
      <w:r>
        <w:rPr>
          <w:rFonts w:hint="eastAsia" w:ascii="仿宋_GB2312" w:hAnsi="Times New Roman" w:eastAsia="仿宋_GB2312"/>
          <w:color w:val="auto"/>
          <w:sz w:val="30"/>
          <w:szCs w:val="30"/>
          <w:lang w:eastAsia="zh-CN"/>
        </w:rPr>
        <w:t>办公</w:t>
      </w:r>
      <w:r>
        <w:rPr>
          <w:rFonts w:hint="eastAsia" w:ascii="仿宋_GB2312" w:hAnsi="Times New Roman" w:eastAsia="仿宋_GB2312"/>
          <w:color w:val="auto"/>
          <w:sz w:val="30"/>
          <w:szCs w:val="30"/>
        </w:rPr>
        <w:t xml:space="preserve">时间：工作日，上午：08:30-12:00，下午：02:30-05:30。 </w:t>
      </w:r>
    </w:p>
    <w:p>
      <w:pPr>
        <w:numPr>
          <w:numId w:val="0"/>
        </w:numPr>
        <w:adjustRightInd w:val="0"/>
        <w:snapToGrid w:val="0"/>
        <w:spacing w:line="360" w:lineRule="auto"/>
        <w:rPr>
          <w:rFonts w:hint="eastAsia" w:ascii="Times New Roman" w:hAnsi="Times New Roman" w:eastAsia="仿宋_GB2312" w:cs="Times New Roman"/>
          <w:b/>
          <w:bCs/>
          <w:color w:val="auto"/>
          <w:sz w:val="30"/>
          <w:szCs w:val="30"/>
          <w:lang w:val="en-US" w:eastAsia="zh-CN"/>
        </w:rPr>
      </w:pPr>
      <w:r>
        <w:rPr>
          <w:rFonts w:hint="eastAsia" w:ascii="仿宋_GB2312" w:hAnsi="Times New Roman" w:eastAsia="仿宋_GB2312"/>
          <w:color w:val="auto"/>
          <w:sz w:val="30"/>
          <w:szCs w:val="30"/>
          <w:lang w:val="en-US" w:eastAsia="zh-CN"/>
        </w:rPr>
        <w:t xml:space="preserve">    </w:t>
      </w:r>
      <w:r>
        <w:rPr>
          <w:rFonts w:hint="eastAsia" w:ascii="仿宋_GB2312" w:hAnsi="Times New Roman" w:eastAsia="仿宋_GB2312"/>
          <w:b/>
          <w:bCs/>
          <w:color w:val="auto"/>
          <w:sz w:val="30"/>
          <w:szCs w:val="30"/>
          <w:lang w:val="en-US" w:eastAsia="zh-CN"/>
        </w:rPr>
        <w:t>2.</w:t>
      </w:r>
      <w:r>
        <w:rPr>
          <w:rFonts w:hint="eastAsia" w:ascii="Times New Roman" w:hAnsi="Times New Roman" w:eastAsia="仿宋_GB2312" w:cs="Times New Roman"/>
          <w:b/>
          <w:bCs/>
          <w:color w:val="auto"/>
          <w:sz w:val="30"/>
          <w:szCs w:val="30"/>
          <w:lang w:val="en-US" w:eastAsia="zh-CN"/>
        </w:rPr>
        <w:t>国家外汇管理局广西区各市中心支局</w:t>
      </w:r>
    </w:p>
    <w:p>
      <w:pPr>
        <w:adjustRightInd w:val="0"/>
        <w:snapToGrid w:val="0"/>
        <w:spacing w:line="360" w:lineRule="auto"/>
        <w:ind w:firstLine="600" w:firstLineChars="200"/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  <w:t>办公地址：通过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eastAsia="zh-CN"/>
        </w:rPr>
        <w:t>国家外汇管理局广西壮族自治区分局官方网站（www.safe.gov.cn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  <w:t>/guangxi/）机构设置栏目进行查询。</w:t>
      </w:r>
    </w:p>
    <w:p>
      <w:pPr>
        <w:adjustRightInd w:val="0"/>
        <w:snapToGrid w:val="0"/>
        <w:spacing w:line="360" w:lineRule="auto"/>
        <w:ind w:firstLine="600" w:firstLineChars="2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  <w:t>办公时间：可通过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eastAsia="zh-CN"/>
        </w:rPr>
        <w:t>国家外汇管理局广西壮族自治区分局官方网站（www.safe.gov.cn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  <w:t>/guangxi/）机构设置栏目所示电话进行咨询。</w:t>
      </w:r>
    </w:p>
    <w:p>
      <w:pPr>
        <w:adjustRightInd w:val="0"/>
        <w:snapToGrid w:val="0"/>
        <w:spacing w:line="360" w:lineRule="auto"/>
        <w:ind w:firstLine="600"/>
        <w:rPr>
          <w:rFonts w:hint="eastAsia"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</w:rPr>
        <w:t>（十八）申请材料示范文本</w:t>
      </w:r>
    </w:p>
    <w:p>
      <w:pPr>
        <w:adjustRightInd w:val="0"/>
        <w:snapToGrid w:val="0"/>
        <w:spacing w:line="360" w:lineRule="auto"/>
        <w:ind w:firstLine="600"/>
        <w:rPr>
          <w:rFonts w:ascii="Times New Roman" w:hAnsi="Times New Roman" w:eastAsia="黑体" w:cs="Times New Roman"/>
          <w:color w:val="auto"/>
          <w:sz w:val="30"/>
          <w:szCs w:val="30"/>
        </w:rPr>
      </w:pPr>
    </w:p>
    <w:p>
      <w:pPr>
        <w:adjustRightInd w:val="0"/>
        <w:snapToGrid w:val="0"/>
        <w:spacing w:line="360" w:lineRule="auto"/>
        <w:jc w:val="center"/>
        <w:outlineLvl w:val="0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</w:rPr>
        <w:t>关于开立服务贸易外汇收入存放境外外汇账户的申请</w:t>
      </w:r>
    </w:p>
    <w:p>
      <w:pPr>
        <w:adjustRightInd w:val="0"/>
        <w:snapToGrid w:val="0"/>
        <w:spacing w:line="360" w:lineRule="auto"/>
        <w:jc w:val="center"/>
        <w:rPr>
          <w:rFonts w:ascii="Times New Roman" w:hAnsi="Times New Roman" w:eastAsia="黑体" w:cs="Times New Roman"/>
          <w:color w:val="auto"/>
          <w:sz w:val="30"/>
          <w:szCs w:val="30"/>
        </w:rPr>
      </w:pPr>
    </w:p>
    <w:p>
      <w:pPr>
        <w:adjustRightInd w:val="0"/>
        <w:snapToGrid w:val="0"/>
        <w:spacing w:line="360" w:lineRule="auto"/>
        <w:jc w:val="left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国家外汇管理局XX分局：</w:t>
      </w:r>
    </w:p>
    <w:p>
      <w:pPr>
        <w:adjustRightInd w:val="0"/>
        <w:snapToGrid w:val="0"/>
        <w:spacing w:line="360" w:lineRule="auto"/>
        <w:ind w:firstLine="600" w:firstLineChars="200"/>
        <w:jc w:val="left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我公司成立于XXXX年，注册资金XX万元，注册地址XX（公司基本情况介绍）。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</w:rPr>
        <w:t>XXXX年，我公司服务贸易外汇收入和支出金额分别为……，同比分别增长（下降）……。</w:t>
      </w:r>
      <w:r>
        <w:rPr>
          <w:rFonts w:ascii="Times New Roman" w:hAnsi="Times New Roman" w:eastAsia="仿宋_GB2312" w:cs="Times New Roman"/>
          <w:color w:val="auto"/>
          <w:sz w:val="30"/>
          <w:szCs w:val="30"/>
        </w:rPr>
        <w:t>因XX业务需要，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</w:rPr>
        <w:t>申请</w:t>
      </w:r>
      <w:r>
        <w:rPr>
          <w:rFonts w:ascii="Times New Roman" w:hAnsi="Times New Roman" w:eastAsia="仿宋_GB2312" w:cs="Times New Roman"/>
          <w:color w:val="auto"/>
          <w:sz w:val="30"/>
          <w:szCs w:val="30"/>
        </w:rPr>
        <w:t>在X国开立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</w:rPr>
        <w:t>服务贸易外汇收入</w:t>
      </w:r>
      <w:r>
        <w:rPr>
          <w:rFonts w:ascii="Times New Roman" w:hAnsi="Times New Roman" w:eastAsia="仿宋_GB2312" w:cs="Times New Roman"/>
          <w:color w:val="auto"/>
          <w:sz w:val="30"/>
          <w:szCs w:val="30"/>
        </w:rPr>
        <w:t>存放境外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</w:rPr>
        <w:t>外汇</w:t>
      </w:r>
      <w:r>
        <w:rPr>
          <w:rFonts w:ascii="Times New Roman" w:hAnsi="Times New Roman" w:eastAsia="仿宋_GB2312" w:cs="Times New Roman"/>
          <w:color w:val="auto"/>
          <w:sz w:val="30"/>
          <w:szCs w:val="30"/>
        </w:rPr>
        <w:t>账户，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</w:rPr>
        <w:t>详细信息如下：</w:t>
      </w:r>
    </w:p>
    <w:p>
      <w:pPr>
        <w:adjustRightInd w:val="0"/>
        <w:snapToGrid w:val="0"/>
        <w:spacing w:line="360" w:lineRule="auto"/>
        <w:ind w:firstLine="600" w:firstLineChars="200"/>
        <w:jc w:val="left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hint="eastAsia" w:ascii="Times New Roman" w:hAnsi="Times New Roman" w:eastAsia="仿宋_GB2312" w:cs="Times New Roman"/>
          <w:color w:val="auto"/>
          <w:sz w:val="30"/>
          <w:szCs w:val="30"/>
        </w:rPr>
        <w:t>适用币种：</w:t>
      </w:r>
    </w:p>
    <w:p>
      <w:pPr>
        <w:adjustRightInd w:val="0"/>
        <w:snapToGrid w:val="0"/>
        <w:spacing w:line="360" w:lineRule="auto"/>
        <w:ind w:firstLine="600" w:firstLineChars="200"/>
        <w:jc w:val="left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hint="eastAsia" w:ascii="Times New Roman" w:hAnsi="Times New Roman" w:eastAsia="仿宋_GB2312" w:cs="Times New Roman"/>
          <w:color w:val="auto"/>
          <w:sz w:val="30"/>
          <w:szCs w:val="30"/>
        </w:rPr>
        <w:t>开户银行：</w:t>
      </w:r>
    </w:p>
    <w:p>
      <w:pPr>
        <w:adjustRightInd w:val="0"/>
        <w:snapToGrid w:val="0"/>
        <w:spacing w:line="360" w:lineRule="auto"/>
        <w:ind w:firstLine="600" w:firstLineChars="200"/>
        <w:jc w:val="left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hint="eastAsia" w:ascii="Times New Roman" w:hAnsi="Times New Roman" w:eastAsia="仿宋_GB2312" w:cs="Times New Roman"/>
          <w:color w:val="auto"/>
          <w:sz w:val="30"/>
          <w:szCs w:val="30"/>
        </w:rPr>
        <w:t>账户使用期限：</w:t>
      </w:r>
    </w:p>
    <w:p>
      <w:pPr>
        <w:adjustRightInd w:val="0"/>
        <w:snapToGrid w:val="0"/>
        <w:spacing w:line="360" w:lineRule="auto"/>
        <w:ind w:firstLine="600" w:firstLineChars="200"/>
        <w:jc w:val="left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hint="eastAsia" w:ascii="Times New Roman" w:hAnsi="Times New Roman" w:eastAsia="仿宋_GB2312" w:cs="Times New Roman"/>
          <w:color w:val="auto"/>
          <w:sz w:val="30"/>
          <w:szCs w:val="30"/>
        </w:rPr>
        <w:t>存放境外资金规模：</w:t>
      </w:r>
    </w:p>
    <w:p>
      <w:pPr>
        <w:adjustRightInd w:val="0"/>
        <w:snapToGrid w:val="0"/>
        <w:spacing w:line="360" w:lineRule="auto"/>
        <w:ind w:firstLine="600" w:firstLineChars="200"/>
        <w:jc w:val="left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hint="eastAsia" w:ascii="Times New Roman" w:hAnsi="Times New Roman" w:eastAsia="仿宋_GB2312" w:cs="Times New Roman"/>
          <w:color w:val="auto"/>
          <w:sz w:val="30"/>
          <w:szCs w:val="30"/>
        </w:rPr>
        <w:t>账户收支范围：</w:t>
      </w:r>
    </w:p>
    <w:p>
      <w:pPr>
        <w:adjustRightInd w:val="0"/>
        <w:snapToGrid w:val="0"/>
        <w:spacing w:line="360" w:lineRule="auto"/>
        <w:ind w:firstLine="600" w:firstLineChars="200"/>
        <w:jc w:val="left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hint="eastAsia" w:ascii="Times New Roman" w:hAnsi="Times New Roman" w:eastAsia="仿宋_GB2312" w:cs="Times New Roman"/>
          <w:color w:val="auto"/>
          <w:sz w:val="30"/>
          <w:szCs w:val="30"/>
        </w:rPr>
        <w:t>（开立账户后，存放境外内部管理制度介绍）。</w:t>
      </w:r>
    </w:p>
    <w:p>
      <w:pPr>
        <w:adjustRightInd w:val="0"/>
        <w:snapToGrid w:val="0"/>
        <w:spacing w:line="360" w:lineRule="auto"/>
        <w:ind w:firstLine="600" w:firstLineChars="200"/>
        <w:jc w:val="left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特此申请。</w:t>
      </w:r>
    </w:p>
    <w:p>
      <w:pPr>
        <w:wordWrap w:val="0"/>
        <w:adjustRightInd w:val="0"/>
        <w:snapToGrid w:val="0"/>
        <w:spacing w:line="360" w:lineRule="auto"/>
        <w:ind w:right="300" w:firstLine="600" w:firstLineChars="200"/>
        <w:jc w:val="right"/>
        <w:outlineLvl w:val="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hint="eastAsia" w:ascii="Times New Roman" w:hAnsi="Times New Roman" w:eastAsia="仿宋_GB2312" w:cs="Times New Roman"/>
          <w:color w:val="auto"/>
          <w:sz w:val="30"/>
          <w:szCs w:val="30"/>
        </w:rPr>
        <w:t xml:space="preserve">  </w:t>
      </w:r>
      <w:r>
        <w:rPr>
          <w:rFonts w:ascii="Times New Roman" w:hAnsi="Times New Roman" w:eastAsia="仿宋_GB2312" w:cs="Times New Roman"/>
          <w:color w:val="auto"/>
          <w:sz w:val="30"/>
          <w:szCs w:val="30"/>
        </w:rPr>
        <w:t>XX公司</w:t>
      </w:r>
    </w:p>
    <w:p>
      <w:pPr>
        <w:adjustRightInd w:val="0"/>
        <w:snapToGrid w:val="0"/>
        <w:spacing w:line="360" w:lineRule="auto"/>
        <w:ind w:firstLine="600" w:firstLineChars="200"/>
        <w:jc w:val="right"/>
        <w:rPr>
          <w:rFonts w:ascii="Times New Roman" w:hAnsi="Times New Roman" w:eastAsia="仿宋_GB2312" w:cs="Times New Roman"/>
          <w:color w:val="auto"/>
          <w:sz w:val="30"/>
          <w:szCs w:val="30"/>
        </w:rPr>
        <w:sectPr>
          <w:pgSz w:w="11906" w:h="16838"/>
          <w:pgMar w:top="1440" w:right="1800" w:bottom="1440" w:left="1800" w:header="851" w:footer="992" w:gutter="0"/>
          <w:cols w:space="720" w:num="1"/>
          <w:titlePg/>
          <w:docGrid w:type="lines" w:linePitch="312" w:charSpace="0"/>
        </w:sect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XXXX年X月X日</w:t>
      </w:r>
    </w:p>
    <w:p>
      <w:pPr>
        <w:adjustRightInd w:val="0"/>
        <w:snapToGrid w:val="0"/>
        <w:spacing w:line="360" w:lineRule="auto"/>
        <w:ind w:firstLine="600" w:firstLineChars="200"/>
        <w:outlineLvl w:val="0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</w:rPr>
        <w:t>（十九）常见问题解答</w:t>
      </w:r>
    </w:p>
    <w:p>
      <w:pPr>
        <w:adjustRightInd w:val="0"/>
        <w:snapToGrid w:val="0"/>
        <w:spacing w:line="360" w:lineRule="auto"/>
        <w:ind w:firstLine="600" w:firstLineChars="2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 xml:space="preserve"> 1.申请存放境外需要具备哪些条件？</w:t>
      </w:r>
    </w:p>
    <w:p>
      <w:pPr>
        <w:adjustRightInd w:val="0"/>
        <w:snapToGrid w:val="0"/>
        <w:spacing w:line="360" w:lineRule="auto"/>
        <w:ind w:firstLine="600" w:firstLineChars="2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（1）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</w:rPr>
        <w:t>服务贸易外汇收入来源真实合法，且在境外有符合相关规定的支付需求</w:t>
      </w:r>
      <w:r>
        <w:rPr>
          <w:rFonts w:ascii="Times New Roman" w:hAnsi="Times New Roman" w:eastAsia="仿宋_GB2312" w:cs="Times New Roman"/>
          <w:color w:val="auto"/>
          <w:sz w:val="30"/>
          <w:szCs w:val="30"/>
        </w:rPr>
        <w:t xml:space="preserve">； </w:t>
      </w:r>
    </w:p>
    <w:p>
      <w:pPr>
        <w:adjustRightInd w:val="0"/>
        <w:snapToGrid w:val="0"/>
        <w:spacing w:line="360" w:lineRule="auto"/>
        <w:ind w:firstLine="600" w:firstLineChars="2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（2）近两年无违反外汇管理规定行为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</w:rPr>
        <w:t>。</w:t>
      </w:r>
      <w:r>
        <w:rPr>
          <w:rFonts w:ascii="Times New Roman" w:hAnsi="Times New Roman" w:eastAsia="仿宋_GB2312" w:cs="Times New Roman"/>
          <w:color w:val="auto"/>
          <w:sz w:val="30"/>
          <w:szCs w:val="30"/>
        </w:rPr>
        <w:t xml:space="preserve"> </w:t>
      </w:r>
    </w:p>
    <w:p>
      <w:pPr>
        <w:adjustRightInd w:val="0"/>
        <w:snapToGrid w:val="0"/>
        <w:spacing w:line="360" w:lineRule="auto"/>
        <w:ind w:firstLine="600" w:firstLineChars="2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2.受理后几个工作日能办结？</w:t>
      </w:r>
    </w:p>
    <w:p>
      <w:pPr>
        <w:adjustRightInd w:val="0"/>
        <w:snapToGrid w:val="0"/>
        <w:spacing w:line="360" w:lineRule="auto"/>
        <w:ind w:firstLine="600" w:firstLineChars="2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按照法规要求，正式受理后，20个工作日内可以批复。</w:t>
      </w:r>
    </w:p>
    <w:p>
      <w:pPr>
        <w:adjustRightInd w:val="0"/>
        <w:snapToGrid w:val="0"/>
        <w:spacing w:line="360" w:lineRule="auto"/>
        <w:ind w:firstLine="600" w:firstLineChars="200"/>
        <w:outlineLvl w:val="0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</w:rPr>
        <w:t>（二十）常见错误示例</w:t>
      </w:r>
    </w:p>
    <w:p>
      <w:pPr>
        <w:adjustRightInd w:val="0"/>
        <w:snapToGrid w:val="0"/>
        <w:spacing w:line="360" w:lineRule="auto"/>
        <w:ind w:firstLine="600" w:firstLineChars="2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某公司近两年因违反外汇管理规定被处罚，申请该业务。</w:t>
      </w:r>
    </w:p>
    <w:p>
      <w:pPr>
        <w:adjustRightInd w:val="0"/>
        <w:snapToGrid w:val="0"/>
        <w:spacing w:line="360" w:lineRule="auto"/>
        <w:ind w:firstLine="600" w:firstLineChars="200"/>
        <w:rPr>
          <w:rFonts w:ascii="Times New Roman" w:hAnsi="Times New Roman" w:eastAsia="仿宋_GB2312" w:cs="Times New Roman"/>
          <w:color w:val="auto"/>
          <w:sz w:val="30"/>
          <w:szCs w:val="30"/>
        </w:rPr>
      </w:pPr>
    </w:p>
    <w:p>
      <w:pPr>
        <w:widowControl/>
        <w:jc w:val="left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br w:type="page"/>
      </w:r>
    </w:p>
    <w:p>
      <w:pPr>
        <w:ind w:right="3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附录</w:t>
      </w:r>
    </w:p>
    <w:p>
      <w:pPr>
        <w:ind w:right="300"/>
        <w:jc w:val="center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</w:rPr>
        <w:t>基本流程</w:t>
      </w:r>
      <w:r>
        <w:rPr>
          <w:rFonts w:hint="eastAsia" w:ascii="Times New Roman" w:hAnsi="Times New Roman" w:eastAsia="黑体" w:cs="Times New Roman"/>
          <w:color w:val="auto"/>
          <w:sz w:val="30"/>
          <w:szCs w:val="30"/>
        </w:rPr>
        <w:t>图</w:t>
      </w:r>
    </w:p>
    <w:p>
      <w:pPr>
        <w:adjustRightInd w:val="0"/>
        <w:snapToGrid w:val="0"/>
        <w:spacing w:line="360" w:lineRule="auto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eastAsia="宋体" w:cs="Times New Roman"/>
          <w:color w:val="auto"/>
          <w:kern w:val="2"/>
          <w:sz w:val="21"/>
          <w:szCs w:val="22"/>
          <w:lang w:val="en-US" w:eastAsia="zh-CN" w:bidi="ar-SA"/>
        </w:rPr>
        <w:pict>
          <v:group id="Group 25" o:spid="_x0000_s1026" style="position:absolute;left:0;margin-left:-42.35pt;margin-top:35.25pt;height:473.2pt;width:472.7pt;rotation:0f;z-index:251658240;" coordorigin="825,3393" coordsize="9454,9464">
            <o:lock v:ext="edit" position="f" selection="f" grouping="f" rotation="f" cropping="f" text="f" aspectratio="f"/>
            <v:shape id="直接箭头连接符 21" o:spid="_x0000_s1027" type="#_x0000_t32" style="position:absolute;left:2402;top:4552;height:1468;width:17;rotation:0f;" o:ole="f" fillcolor="#FFFFFF" filled="t" o:preferrelative="t" stroked="t" coordorigin="0,0" coordsize="21600,21600">
              <v:stroke color="#000000" color2="#FFFFFF" miterlimit="2" endarrow="block"/>
              <v:imagedata gain="65536f" blacklevel="0f" gamma="0"/>
              <o:lock v:ext="edit" position="f" selection="f" grouping="f" rotation="f" cropping="f" text="f" aspectratio="f"/>
            </v:shape>
            <v:shape id="直接箭头连接符 17" o:spid="_x0000_s1028" type="#_x0000_t32" style="position:absolute;left:4275;top:5918;height:1;width:564;rotation:0f;" o:ole="f" fillcolor="#FFFFFF" filled="t" o:preferrelative="t" stroked="t" coordorigin="0,0" coordsize="21600,21600">
              <v:stroke color="#000000" color2="#FFFFFF" miterlimit="2" endarrow="block"/>
              <v:imagedata gain="65536f" blacklevel="0f" gamma="0"/>
              <o:lock v:ext="edit" position="f" selection="f" grouping="f" rotation="f" cropping="f" text="f" aspectratio="f"/>
            </v:shape>
            <v:shape id="直接箭头连接符 16" o:spid="_x0000_s1029" type="#_x0000_t32" style="position:absolute;left:4275;top:6752;height:1;width:564;rotation:0f;" o:ole="f" fillcolor="#FFFFFF" filled="t" o:preferrelative="t" stroked="t" coordorigin="0,0" coordsize="21600,21600">
              <v:stroke color="#000000" color2="#FFFFFF" miterlimit="2" endarrow="block"/>
              <v:imagedata gain="65536f" blacklevel="0f" gamma="0"/>
              <o:lock v:ext="edit" position="f" selection="f" grouping="f" rotation="f" cropping="f" text="f" aspectratio="f"/>
            </v:shape>
            <v:shape id="直接箭头连接符 18" o:spid="_x0000_s1030" type="#_x0000_t34" style="position:absolute;left:8573;top:5455;height:1;width:271;rotation:17694720f;" o:ole="f" fillcolor="#FFFFFF" filled="t" o:preferrelative="t" stroked="t" coordorigin="0,0" coordsize="21600,21600" adj="10760">
              <v:stroke color="#000000" color2="#FFFFFF" miterlimit="2" endarrow="block"/>
              <v:imagedata gain="65536f" blacklevel="0f" gamma="0"/>
              <o:lock v:ext="edit" position="f" selection="f" grouping="f" rotation="f" cropping="f" text="f" aspectratio="f"/>
            </v:shape>
            <v:shape id="直接箭头连接符 19" o:spid="_x0000_s1031" type="#_x0000_t32" style="position:absolute;left:2417;top:4938;flip:x y;height:72;width:4851;rotation:0f;" o:ole="f" fillcolor="#FFFFFF" filled="t" o:preferrelative="t" stroked="t" coordorigin="0,0" coordsize="21600,21600">
              <v:stroke color="#000000" color2="#FFFFFF" miterlimit="2" endarrow="block"/>
              <v:imagedata gain="65536f" blacklevel="0f" gamma="0"/>
              <o:lock v:ext="edit" position="f" selection="f" grouping="f" rotation="f" cropping="f" text="f" aspectratio="f"/>
            </v:shape>
            <v:shape id="直接箭头连接符 9" o:spid="_x0000_s1032" type="#_x0000_t32" style="position:absolute;left:5002;top:9276;height:437;width:0;rotation:0f;" o:ole="f" fillcolor="#FFFFFF" filled="t" o:preferrelative="t" stroked="t" coordorigin="0,0" coordsize="21600,21600">
              <v:stroke color="#000000" color2="#FFFFFF" miterlimit="2" endarrow="block"/>
              <v:imagedata gain="65536f" blacklevel="0f" gamma="0"/>
              <o:lock v:ext="edit" position="f" selection="f" grouping="f" rotation="f" cropping="f" text="f" aspectratio="f"/>
            </v:shape>
            <v:shape id="直接箭头连接符 11" o:spid="_x0000_s1033" type="#_x0000_t32" style="position:absolute;left:4986;top:11195;height:905;width:1;rotation:0f;" o:ole="f" fillcolor="#FFFFFF" filled="t" o:preferrelative="t" stroked="t" coordorigin="0,0" coordsize="21600,21600">
              <v:stroke color="#000000" color2="#FFFFFF" miterlimit="2" endarrow="block"/>
              <v:imagedata gain="65536f" blacklevel="0f" gamma="0"/>
              <o:lock v:ext="edit" position="f" selection="f" grouping="f" rotation="f" cropping="f" text="f" aspectratio="f"/>
            </v:shape>
            <v:shape id="直接箭头连接符 5" o:spid="_x0000_s1034" type="#_x0000_t32" style="position:absolute;left:2432;top:7405;height:1391;width:0;rotation:0f;" o:ole="f" fillcolor="#FFFFFF" filled="t" o:preferrelative="t" stroked="t" coordorigin="0,0" coordsize="21600,21600">
              <v:stroke color="#000000" color2="#FFFFFF" miterlimit="2"/>
              <v:imagedata gain="65536f" blacklevel="0f" gamma="0"/>
              <o:lock v:ext="edit" position="f" selection="f" grouping="f" rotation="f" cropping="f" text="f" aspectratio="f"/>
            </v:shape>
            <v:shape id="直接箭头连接符 6" o:spid="_x0000_s1035" type="#_x0000_t32" style="position:absolute;left:2432;top:8792;height:0;width:822;rotation:0f;" o:ole="f" fillcolor="#FFFFFF" filled="t" o:preferrelative="t" stroked="t" coordorigin="0,0" coordsize="21600,21600">
              <v:stroke color="#000000" color2="#FFFFFF" miterlimit="2" endarrow="block"/>
              <v:imagedata gain="65536f" blacklevel="0f" gamma="0"/>
              <o:lock v:ext="edit" position="f" selection="f" grouping="f" rotation="f" cropping="f" text="f" aspectratio="f"/>
            </v:shape>
            <v:shape id="流程图: 决策 2" o:spid="_x0000_s1036" type="#_x0000_t110" style="position:absolute;left:825;top:5391;height:2085;width:3157;rotation:0f;" o:ole="f" fillcolor="#FFFFFF" filled="t" o:preferrelative="t" stroked="t" coordorigin="0,0" coordsize="21600,21600">
              <v:stroke color="#000000" color2="#FFFFFF" miterlimit="2"/>
              <v:imagedata gain="65536f" blacklevel="0f" gamma="0"/>
              <o:lock v:ext="edit" position="f" selection="f" grouping="f" rotation="f" cropping="f" text="f" aspectratio="f"/>
              <v:textbox>
                <w:txbxContent>
                  <w:p>
                    <w:pPr>
                      <w:jc w:val="left"/>
                    </w:pPr>
                    <w:r>
                      <w:rPr>
                        <w:rFonts w:hint="eastAsia"/>
                      </w:rPr>
                      <w:t>接件并于</w:t>
                    </w:r>
                    <w:r>
                      <w:rPr>
                        <w:rFonts w:ascii="Times New Roman" w:hAnsi="Times New Roman" w:cs="Times New Roman"/>
                      </w:rPr>
                      <w:t>5</w:t>
                    </w:r>
                    <w:r>
                      <w:rPr>
                        <w:rFonts w:hint="eastAsia"/>
                      </w:rPr>
                      <w:t>个工作日作出是否受理决定</w:t>
                    </w:r>
                  </w:p>
                </w:txbxContent>
              </v:textbox>
            </v:shape>
            <v:shape id="直接箭头连接符 3" o:spid="_x0000_s1037" type="#_x0000_t32" style="position:absolute;left:4275;top:5933;height:804;width:0;rotation:0f;" o:ole="f" fillcolor="#FFFFFF" filled="t" o:preferrelative="t" stroked="t" coordorigin="0,0" coordsize="21600,21600">
              <v:stroke color="#000000" color2="#FFFFFF" miterlimit="2"/>
              <v:imagedata gain="65536f" blacklevel="0f" gamma="0"/>
              <o:lock v:ext="edit" position="f" selection="f" grouping="f" rotation="f" cropping="f" text="f" aspectratio="f"/>
            </v:shape>
            <v:shape id="直接箭头连接符 4" o:spid="_x0000_s1038" type="#_x0000_t32" style="position:absolute;left:3982;top:6416;height:0;width:293;rotation:0f;" o:ole="f" fillcolor="#FFFFFF" filled="t" o:preferrelative="t" stroked="t" coordorigin="0,0" coordsize="21600,21600">
              <v:stroke color="#000000" color2="#FFFFFF" miterlimit="2"/>
              <v:imagedata gain="65536f" blacklevel="0f" gamma="0"/>
              <o:lock v:ext="edit" position="f" selection="f" grouping="f" rotation="f" cropping="f" text="f" aspectratio="f"/>
            </v:shape>
            <v:rect id="矩形 20" o:spid="_x0000_s1039" style="position:absolute;left:7272;top:4573;height:720;width:2929;rotation:0f;" o:ole="f" fillcolor="#FFFFFF" filled="t" o:preferrelative="t" stroked="t" coordsize="21600,21600">
              <v:stroke color="#000000" color2="#FFFFFF" miterlimit="2"/>
              <v:imagedata gain="65536f" blacklevel="0f" gamma="0"/>
              <o:lock v:ext="edit" position="f" selection="f" grouping="f" rotation="f" cropping="f" text="f" aspectratio="f"/>
              <v:textbox>
                <w:txbxContent>
                  <w:p>
                    <w:r>
                      <w:rPr>
                        <w:rFonts w:hint="eastAsia"/>
                      </w:rPr>
                      <w:t>申请人补全材料</w:t>
                    </w:r>
                  </w:p>
                </w:txbxContent>
              </v:textbox>
            </v:rect>
            <v:shape id="流程图: 过程 7" o:spid="_x0000_s1040" type="#_x0000_t109" style="position:absolute;left:4839;top:5591;height:587;width:5440;rotation:0f;" o:ole="f" fillcolor="#FFFFFF" filled="t" o:preferrelative="t" stroked="t" coordorigin="0,0" coordsize="21600,21600">
              <v:stroke color="#000000" color2="#FFFFFF" miterlimit="2"/>
              <v:imagedata gain="65536f" blacklevel="0f" gamma="0"/>
              <o:lock v:ext="edit" position="f" selection="f" grouping="f" rotation="f" cropping="f" text="f" aspectratio="f"/>
              <v:textbox>
                <w:txbxContent>
                  <w:p>
                    <w:r>
                      <w:rPr>
                        <w:rFonts w:hint="eastAsia"/>
                      </w:rPr>
                      <w:t>材料不全或不符合法定形式的，一次性告知补正材料</w:t>
                    </w:r>
                  </w:p>
                </w:txbxContent>
              </v:textbox>
            </v:shape>
            <v:rect id="矩形 8" o:spid="_x0000_s1041" style="position:absolute;left:4839;top:6592;height:811;width:5440;rotation:0f;" o:ole="f" fillcolor="#FFFFFF" filled="t" o:preferrelative="t" stroked="t" coordsize="21600,21600">
              <v:stroke color="#000000" color2="#FFFFFF" miterlimit="2"/>
              <v:imagedata gain="65536f" blacklevel="0f" gamma="0"/>
              <o:lock v:ext="edit" position="f" selection="f" grouping="f" rotation="f" cropping="f" text="f" aspectratio="f"/>
              <v:textbox>
                <w:txbxContent>
                  <w:p>
                    <w:r>
                      <w:rPr>
                        <w:rFonts w:hint="eastAsia"/>
                      </w:rPr>
                      <w:t>依法不予受理的，作出不予受理决定，出具不予受理通知书</w:t>
                    </w:r>
                  </w:p>
                </w:txbxContent>
              </v:textbox>
            </v:rect>
            <v:shape id="流程图: 过程 13" o:spid="_x0000_s1042" type="#_x0000_t109" style="position:absolute;left:3332;top:8461;height:815;width:3227;rotation:0f;" o:ole="f" fillcolor="#FFFFFF" filled="t" o:preferrelative="t" stroked="t" coordorigin="0,0" coordsize="21600,21600">
              <v:stroke color="#000000" color2="#FFFFFF" miterlimit="2"/>
              <v:imagedata gain="65536f" blacklevel="0f" gamma="0"/>
              <o:lock v:ext="edit" position="f" selection="f" grouping="f" rotation="f" cropping="f" text="f" aspectratio="f"/>
              <v:textbox>
                <w:txbxContent>
                  <w:p>
                    <w:r>
                      <w:rPr>
                        <w:rFonts w:hint="eastAsia"/>
                      </w:rPr>
                      <w:t>依法应予受理的，出具受理单</w:t>
                    </w:r>
                  </w:p>
                  <w:p/>
                </w:txbxContent>
              </v:textbox>
            </v:shape>
            <v:shape id="流程图: 决策 10" o:spid="_x0000_s1043" type="#_x0000_t110" style="position:absolute;left:3456;top:9713;height:1444;width:3064;rotation:0f;" o:ole="f" fillcolor="#FFFFFF" filled="t" o:preferrelative="t" stroked="t" coordorigin="0,0" coordsize="21600,21600">
              <v:stroke color="#000000" color2="#FFFFFF" miterlimit="2"/>
              <v:imagedata gain="65536f" blacklevel="0f" gamma="0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审查报批</w:t>
                    </w:r>
                  </w:p>
                </w:txbxContent>
              </v:textbox>
            </v:shape>
            <v:shape id="流程图: 过程 12" o:spid="_x0000_s1044" type="#_x0000_t109" style="position:absolute;left:3452;top:12100;height:757;width:2987;rotation:0f;" o:ole="f" fillcolor="#FFFFFF" filled="t" o:preferrelative="t" stroked="t" coordorigin="0,0" coordsize="21600,21600">
              <v:stroke color="#000000" color2="#FFFFFF" miterlimit="2"/>
              <v:imagedata gain="65536f" blacklevel="0f" gamma="0"/>
              <o:lock v:ext="edit" position="f" selection="f" grouping="f" rotation="f" cropping="f" text="f" aspectratio="f"/>
              <v:textbox>
                <w:txbxContent>
                  <w:p>
                    <w:r>
                      <w:rPr>
                        <w:rFonts w:hint="eastAsia"/>
                      </w:rPr>
                      <w:t>予以许可的，向申请人出具核准书面决定</w:t>
                    </w:r>
                  </w:p>
                  <w:p/>
                </w:txbxContent>
              </v:textbox>
            </v:shape>
            <v:shape id="流程图: 过程 14" o:spid="_x0000_s1045" type="#_x0000_t109" style="position:absolute;left:7786;top:10041;height:766;width:2298;rotation:0f;" o:ole="f" fillcolor="#FFFFFF" filled="t" o:preferrelative="t" stroked="t" coordorigin="0,0" coordsize="21600,21600">
              <v:stroke color="#000000" color2="#FFFFFF" miterlimit="2"/>
              <v:imagedata gain="65536f" blacklevel="0f" gamma="0"/>
              <o:lock v:ext="edit" position="f" selection="f" grouping="f" rotation="f" cropping="f" text="f" aspectratio="f"/>
              <v:textbox>
                <w:txbxContent>
                  <w:p>
                    <w:r>
                      <w:rPr>
                        <w:rFonts w:hint="eastAsia"/>
                      </w:rPr>
                      <w:t>依法作出不予许可决定</w:t>
                    </w:r>
                  </w:p>
                  <w:p/>
                </w:txbxContent>
              </v:textbox>
            </v:shape>
            <v:shape id="直接箭头连接符 15" o:spid="_x0000_s1046" type="#_x0000_t32" style="position:absolute;left:6520;top:10422;flip:y;height:15;width:1266;rotation:0f;" o:ole="f" fillcolor="#FFFFFF" filled="t" o:preferrelative="t" stroked="t" coordorigin="0,0" coordsize="21600,21600">
              <v:stroke color="#000000" color2="#FFFFFF" miterlimit="2" endarrow="block"/>
              <v:imagedata gain="65536f" blacklevel="0f" gamma="0"/>
              <o:lock v:ext="edit" position="f" selection="f" grouping="f" rotation="f" cropping="f" text="f" aspectratio="f"/>
            </v:shape>
            <v:shape id="流程图: 终止 22" o:spid="_x0000_s1047" type="#_x0000_t116" style="position:absolute;left:1258;top:3393;height:1172;width:2467;rotation:0f;" o:ole="f" fillcolor="#FFFFFF" filled="t" o:preferrelative="t" stroked="t" coordorigin="0,0" coordsize="21600,21600">
              <v:stroke color="#000000" color2="#FFFFFF" miterlimit="2"/>
              <v:imagedata gain="65536f" blacklevel="0f" gamma="0"/>
              <o:lock v:ext="edit" position="f" selection="f" grouping="f" rotation="f" cropping="f" text="f" aspectratio="f"/>
              <v:textbox>
                <w:txbxContent>
                  <w:p>
                    <w:r>
                      <w:rPr>
                        <w:rFonts w:hint="eastAsia"/>
                      </w:rPr>
                      <w:t>申请人现场提出书面申请，并提交材料</w:t>
                    </w:r>
                  </w:p>
                  <w:p/>
                </w:txbxContent>
              </v:textbox>
            </v:shape>
          </v:group>
        </w:pict>
      </w:r>
    </w:p>
    <w:sectPr>
      <w:pgSz w:w="11906" w:h="16838"/>
      <w:pgMar w:top="1440" w:right="1800" w:bottom="1440" w:left="1800" w:header="851" w:footer="992" w:gutter="0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Noto Sans Mono CJK JP Regular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ˎ̥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608604934">
    <w:nsid w:val="5FE15D06"/>
    <w:multiLevelType w:val="singleLevel"/>
    <w:tmpl w:val="5FE15D06"/>
    <w:lvl w:ilvl="0" w:tentative="1">
      <w:start w:val="2"/>
      <w:numFmt w:val="decimal"/>
      <w:suff w:val="nothing"/>
      <w:lvlText w:val="%1."/>
      <w:lvlJc w:val="left"/>
    </w:lvl>
  </w:abstractNum>
  <w:num w:numId="1">
    <w:abstractNumId w:val="16086049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AB131E"/>
    <w:rsid w:val="00003372"/>
    <w:rsid w:val="00022191"/>
    <w:rsid w:val="00023783"/>
    <w:rsid w:val="000258D3"/>
    <w:rsid w:val="00041960"/>
    <w:rsid w:val="00042B58"/>
    <w:rsid w:val="00054B00"/>
    <w:rsid w:val="00055270"/>
    <w:rsid w:val="0006560A"/>
    <w:rsid w:val="00072F8A"/>
    <w:rsid w:val="000750C8"/>
    <w:rsid w:val="00077973"/>
    <w:rsid w:val="00080630"/>
    <w:rsid w:val="00091661"/>
    <w:rsid w:val="00092D53"/>
    <w:rsid w:val="00096CBB"/>
    <w:rsid w:val="00097F7B"/>
    <w:rsid w:val="000B308B"/>
    <w:rsid w:val="000B6901"/>
    <w:rsid w:val="000B728B"/>
    <w:rsid w:val="000C15B3"/>
    <w:rsid w:val="000C2B33"/>
    <w:rsid w:val="000D1995"/>
    <w:rsid w:val="000D7478"/>
    <w:rsid w:val="0012202B"/>
    <w:rsid w:val="0012271F"/>
    <w:rsid w:val="00130519"/>
    <w:rsid w:val="00135BEE"/>
    <w:rsid w:val="00140FCF"/>
    <w:rsid w:val="0014667A"/>
    <w:rsid w:val="00154B58"/>
    <w:rsid w:val="00157C64"/>
    <w:rsid w:val="00157E81"/>
    <w:rsid w:val="00170126"/>
    <w:rsid w:val="00177059"/>
    <w:rsid w:val="00181D3E"/>
    <w:rsid w:val="00182FDC"/>
    <w:rsid w:val="00196FAE"/>
    <w:rsid w:val="001A08D4"/>
    <w:rsid w:val="001A3E49"/>
    <w:rsid w:val="001A72AA"/>
    <w:rsid w:val="001B1E2C"/>
    <w:rsid w:val="001C44C7"/>
    <w:rsid w:val="001D65A2"/>
    <w:rsid w:val="001E1407"/>
    <w:rsid w:val="001F4BD4"/>
    <w:rsid w:val="001F7297"/>
    <w:rsid w:val="00205D07"/>
    <w:rsid w:val="00212F39"/>
    <w:rsid w:val="00217116"/>
    <w:rsid w:val="002222D1"/>
    <w:rsid w:val="00224238"/>
    <w:rsid w:val="00231EED"/>
    <w:rsid w:val="00233841"/>
    <w:rsid w:val="00235F24"/>
    <w:rsid w:val="002417D2"/>
    <w:rsid w:val="00241FE8"/>
    <w:rsid w:val="00242648"/>
    <w:rsid w:val="00243264"/>
    <w:rsid w:val="0024527E"/>
    <w:rsid w:val="00253A10"/>
    <w:rsid w:val="00253F7B"/>
    <w:rsid w:val="00255EAC"/>
    <w:rsid w:val="00262235"/>
    <w:rsid w:val="00263B1F"/>
    <w:rsid w:val="00263BFE"/>
    <w:rsid w:val="002738B5"/>
    <w:rsid w:val="00291C17"/>
    <w:rsid w:val="0029313A"/>
    <w:rsid w:val="002B0B1C"/>
    <w:rsid w:val="002B598D"/>
    <w:rsid w:val="002B61C1"/>
    <w:rsid w:val="002E1323"/>
    <w:rsid w:val="002E4A4E"/>
    <w:rsid w:val="002F3868"/>
    <w:rsid w:val="00302119"/>
    <w:rsid w:val="00302E87"/>
    <w:rsid w:val="00310261"/>
    <w:rsid w:val="00324E79"/>
    <w:rsid w:val="00342642"/>
    <w:rsid w:val="00343044"/>
    <w:rsid w:val="00344B01"/>
    <w:rsid w:val="00353AC4"/>
    <w:rsid w:val="003616B4"/>
    <w:rsid w:val="003A57B2"/>
    <w:rsid w:val="003B0C46"/>
    <w:rsid w:val="003C7132"/>
    <w:rsid w:val="003D4A51"/>
    <w:rsid w:val="003D77A5"/>
    <w:rsid w:val="003E6BF6"/>
    <w:rsid w:val="003F221D"/>
    <w:rsid w:val="003F3097"/>
    <w:rsid w:val="00402AE8"/>
    <w:rsid w:val="00405FE6"/>
    <w:rsid w:val="00406AEB"/>
    <w:rsid w:val="004105BC"/>
    <w:rsid w:val="004163C0"/>
    <w:rsid w:val="00421C27"/>
    <w:rsid w:val="00434C7C"/>
    <w:rsid w:val="00440A1F"/>
    <w:rsid w:val="00443603"/>
    <w:rsid w:val="00443604"/>
    <w:rsid w:val="00447FA5"/>
    <w:rsid w:val="004501EA"/>
    <w:rsid w:val="00460458"/>
    <w:rsid w:val="0046792D"/>
    <w:rsid w:val="004767DF"/>
    <w:rsid w:val="00493CCC"/>
    <w:rsid w:val="004A0218"/>
    <w:rsid w:val="004A7840"/>
    <w:rsid w:val="004B5070"/>
    <w:rsid w:val="004B545A"/>
    <w:rsid w:val="004B7E80"/>
    <w:rsid w:val="004C457E"/>
    <w:rsid w:val="004C48D5"/>
    <w:rsid w:val="004D03B7"/>
    <w:rsid w:val="004D1436"/>
    <w:rsid w:val="004D57AE"/>
    <w:rsid w:val="005056D4"/>
    <w:rsid w:val="005125EC"/>
    <w:rsid w:val="00526B2B"/>
    <w:rsid w:val="005362B0"/>
    <w:rsid w:val="0053703D"/>
    <w:rsid w:val="00542447"/>
    <w:rsid w:val="00545209"/>
    <w:rsid w:val="0055599B"/>
    <w:rsid w:val="00564312"/>
    <w:rsid w:val="005774DB"/>
    <w:rsid w:val="00577B1E"/>
    <w:rsid w:val="00586E61"/>
    <w:rsid w:val="00593C10"/>
    <w:rsid w:val="005A2981"/>
    <w:rsid w:val="005B0F69"/>
    <w:rsid w:val="005C6937"/>
    <w:rsid w:val="005C7F02"/>
    <w:rsid w:val="005D0D5F"/>
    <w:rsid w:val="005F0A86"/>
    <w:rsid w:val="005F144A"/>
    <w:rsid w:val="005F1C00"/>
    <w:rsid w:val="006003C2"/>
    <w:rsid w:val="0061621E"/>
    <w:rsid w:val="00630AA8"/>
    <w:rsid w:val="00630B2E"/>
    <w:rsid w:val="00643D2A"/>
    <w:rsid w:val="006523DA"/>
    <w:rsid w:val="00664E11"/>
    <w:rsid w:val="00673B30"/>
    <w:rsid w:val="006946A7"/>
    <w:rsid w:val="00696E5D"/>
    <w:rsid w:val="006B3DF4"/>
    <w:rsid w:val="006B5B86"/>
    <w:rsid w:val="006C5908"/>
    <w:rsid w:val="006C633E"/>
    <w:rsid w:val="006D734F"/>
    <w:rsid w:val="006E043F"/>
    <w:rsid w:val="006E4695"/>
    <w:rsid w:val="006E4B8B"/>
    <w:rsid w:val="006E5901"/>
    <w:rsid w:val="007054F3"/>
    <w:rsid w:val="0071091C"/>
    <w:rsid w:val="00714961"/>
    <w:rsid w:val="00744BD5"/>
    <w:rsid w:val="00745748"/>
    <w:rsid w:val="00750E36"/>
    <w:rsid w:val="00753125"/>
    <w:rsid w:val="00753CB0"/>
    <w:rsid w:val="00755460"/>
    <w:rsid w:val="00761FB7"/>
    <w:rsid w:val="00762107"/>
    <w:rsid w:val="00764CB9"/>
    <w:rsid w:val="00765B05"/>
    <w:rsid w:val="00770157"/>
    <w:rsid w:val="00785F45"/>
    <w:rsid w:val="007933BD"/>
    <w:rsid w:val="007A2780"/>
    <w:rsid w:val="007A403E"/>
    <w:rsid w:val="007A68EA"/>
    <w:rsid w:val="007B06FC"/>
    <w:rsid w:val="007B0FEF"/>
    <w:rsid w:val="007B2DB5"/>
    <w:rsid w:val="007D2C11"/>
    <w:rsid w:val="007D6171"/>
    <w:rsid w:val="007D69EA"/>
    <w:rsid w:val="007E2C7B"/>
    <w:rsid w:val="007E411B"/>
    <w:rsid w:val="007F0863"/>
    <w:rsid w:val="007F2F3B"/>
    <w:rsid w:val="00802307"/>
    <w:rsid w:val="0082168E"/>
    <w:rsid w:val="00821968"/>
    <w:rsid w:val="008471B6"/>
    <w:rsid w:val="00851521"/>
    <w:rsid w:val="0085686A"/>
    <w:rsid w:val="00860878"/>
    <w:rsid w:val="008731FF"/>
    <w:rsid w:val="0088294A"/>
    <w:rsid w:val="0089282A"/>
    <w:rsid w:val="008A1DC0"/>
    <w:rsid w:val="008A4538"/>
    <w:rsid w:val="008A704B"/>
    <w:rsid w:val="008B079F"/>
    <w:rsid w:val="008B08D2"/>
    <w:rsid w:val="008B4EE5"/>
    <w:rsid w:val="008B5807"/>
    <w:rsid w:val="008D5FA0"/>
    <w:rsid w:val="008E2D38"/>
    <w:rsid w:val="008F5724"/>
    <w:rsid w:val="00902633"/>
    <w:rsid w:val="009027D8"/>
    <w:rsid w:val="0090372F"/>
    <w:rsid w:val="00911E27"/>
    <w:rsid w:val="0092129A"/>
    <w:rsid w:val="00925BB2"/>
    <w:rsid w:val="00930C8C"/>
    <w:rsid w:val="009360EA"/>
    <w:rsid w:val="00945E71"/>
    <w:rsid w:val="00947C57"/>
    <w:rsid w:val="00951149"/>
    <w:rsid w:val="00960EDB"/>
    <w:rsid w:val="009622DB"/>
    <w:rsid w:val="009664BC"/>
    <w:rsid w:val="00980F02"/>
    <w:rsid w:val="00991B77"/>
    <w:rsid w:val="00997523"/>
    <w:rsid w:val="009A0C5D"/>
    <w:rsid w:val="009A766A"/>
    <w:rsid w:val="009C1AE0"/>
    <w:rsid w:val="009C4672"/>
    <w:rsid w:val="009C491B"/>
    <w:rsid w:val="009C7E8B"/>
    <w:rsid w:val="009D0911"/>
    <w:rsid w:val="009D24F8"/>
    <w:rsid w:val="009D688C"/>
    <w:rsid w:val="009D703D"/>
    <w:rsid w:val="009F7A36"/>
    <w:rsid w:val="00A249C2"/>
    <w:rsid w:val="00A24FAB"/>
    <w:rsid w:val="00A301E7"/>
    <w:rsid w:val="00A42E69"/>
    <w:rsid w:val="00A45CA7"/>
    <w:rsid w:val="00A51415"/>
    <w:rsid w:val="00A6014E"/>
    <w:rsid w:val="00A60356"/>
    <w:rsid w:val="00A81DF1"/>
    <w:rsid w:val="00A90EF3"/>
    <w:rsid w:val="00A9342E"/>
    <w:rsid w:val="00AA28A2"/>
    <w:rsid w:val="00AA7717"/>
    <w:rsid w:val="00AB131E"/>
    <w:rsid w:val="00AB3B88"/>
    <w:rsid w:val="00AB644F"/>
    <w:rsid w:val="00AC3F5E"/>
    <w:rsid w:val="00AD2DED"/>
    <w:rsid w:val="00AE7ACF"/>
    <w:rsid w:val="00AF1339"/>
    <w:rsid w:val="00B06409"/>
    <w:rsid w:val="00B17D66"/>
    <w:rsid w:val="00B35D3A"/>
    <w:rsid w:val="00B422F1"/>
    <w:rsid w:val="00B52382"/>
    <w:rsid w:val="00B54103"/>
    <w:rsid w:val="00B71531"/>
    <w:rsid w:val="00B7456C"/>
    <w:rsid w:val="00B84131"/>
    <w:rsid w:val="00B8630E"/>
    <w:rsid w:val="00B931F4"/>
    <w:rsid w:val="00B95573"/>
    <w:rsid w:val="00B96395"/>
    <w:rsid w:val="00BA2AF8"/>
    <w:rsid w:val="00BB2650"/>
    <w:rsid w:val="00BB5BDC"/>
    <w:rsid w:val="00BB7447"/>
    <w:rsid w:val="00BB7B76"/>
    <w:rsid w:val="00BD233D"/>
    <w:rsid w:val="00BF4EF0"/>
    <w:rsid w:val="00BF7FCF"/>
    <w:rsid w:val="00C02E44"/>
    <w:rsid w:val="00C147D2"/>
    <w:rsid w:val="00C2075F"/>
    <w:rsid w:val="00C23799"/>
    <w:rsid w:val="00C274C9"/>
    <w:rsid w:val="00C275D5"/>
    <w:rsid w:val="00C31E02"/>
    <w:rsid w:val="00C42513"/>
    <w:rsid w:val="00C4465B"/>
    <w:rsid w:val="00C46940"/>
    <w:rsid w:val="00C54291"/>
    <w:rsid w:val="00C601D3"/>
    <w:rsid w:val="00C672C3"/>
    <w:rsid w:val="00C712B2"/>
    <w:rsid w:val="00C74460"/>
    <w:rsid w:val="00C97FED"/>
    <w:rsid w:val="00CA1DBB"/>
    <w:rsid w:val="00CA2622"/>
    <w:rsid w:val="00CA7F2C"/>
    <w:rsid w:val="00CA7FF8"/>
    <w:rsid w:val="00CB5DE7"/>
    <w:rsid w:val="00CC068D"/>
    <w:rsid w:val="00CC4922"/>
    <w:rsid w:val="00CD1FF6"/>
    <w:rsid w:val="00CE25C7"/>
    <w:rsid w:val="00CE3335"/>
    <w:rsid w:val="00CE4849"/>
    <w:rsid w:val="00CE5C8E"/>
    <w:rsid w:val="00CE5F49"/>
    <w:rsid w:val="00CE61BD"/>
    <w:rsid w:val="00D01626"/>
    <w:rsid w:val="00D26728"/>
    <w:rsid w:val="00D26F10"/>
    <w:rsid w:val="00D33A4D"/>
    <w:rsid w:val="00D33F76"/>
    <w:rsid w:val="00D37EC3"/>
    <w:rsid w:val="00D41F5E"/>
    <w:rsid w:val="00D43DC0"/>
    <w:rsid w:val="00D457D1"/>
    <w:rsid w:val="00D54E56"/>
    <w:rsid w:val="00D6407D"/>
    <w:rsid w:val="00D93E78"/>
    <w:rsid w:val="00D9765F"/>
    <w:rsid w:val="00DB61F0"/>
    <w:rsid w:val="00DC6E91"/>
    <w:rsid w:val="00DC7514"/>
    <w:rsid w:val="00DD3845"/>
    <w:rsid w:val="00DF3230"/>
    <w:rsid w:val="00E1687A"/>
    <w:rsid w:val="00E20A2E"/>
    <w:rsid w:val="00E277DE"/>
    <w:rsid w:val="00E27EE9"/>
    <w:rsid w:val="00E3239D"/>
    <w:rsid w:val="00E3439B"/>
    <w:rsid w:val="00E37414"/>
    <w:rsid w:val="00E40E64"/>
    <w:rsid w:val="00E42C5F"/>
    <w:rsid w:val="00E65A1B"/>
    <w:rsid w:val="00E72F1F"/>
    <w:rsid w:val="00E80001"/>
    <w:rsid w:val="00E934AB"/>
    <w:rsid w:val="00EA06AC"/>
    <w:rsid w:val="00EA08BF"/>
    <w:rsid w:val="00EA24FB"/>
    <w:rsid w:val="00EB3204"/>
    <w:rsid w:val="00EB50BA"/>
    <w:rsid w:val="00EC3D33"/>
    <w:rsid w:val="00EC7AC5"/>
    <w:rsid w:val="00ED302A"/>
    <w:rsid w:val="00ED3A42"/>
    <w:rsid w:val="00EE02BC"/>
    <w:rsid w:val="00EE6970"/>
    <w:rsid w:val="00EF38D0"/>
    <w:rsid w:val="00EF3DDF"/>
    <w:rsid w:val="00EF4A8C"/>
    <w:rsid w:val="00F12A6C"/>
    <w:rsid w:val="00F2678C"/>
    <w:rsid w:val="00F27B38"/>
    <w:rsid w:val="00F40278"/>
    <w:rsid w:val="00F41832"/>
    <w:rsid w:val="00F56988"/>
    <w:rsid w:val="00F620FB"/>
    <w:rsid w:val="00F6571F"/>
    <w:rsid w:val="00F8687E"/>
    <w:rsid w:val="00F93331"/>
    <w:rsid w:val="00F95549"/>
    <w:rsid w:val="00FA1E24"/>
    <w:rsid w:val="00FA24FB"/>
    <w:rsid w:val="00FA632B"/>
    <w:rsid w:val="00FA7FB8"/>
    <w:rsid w:val="00FB09C6"/>
    <w:rsid w:val="00FB38EA"/>
    <w:rsid w:val="00FB5E0F"/>
    <w:rsid w:val="00FB5E8C"/>
    <w:rsid w:val="00FB6AFF"/>
    <w:rsid w:val="00FC4D8F"/>
    <w:rsid w:val="00FD06D3"/>
    <w:rsid w:val="00FE3157"/>
    <w:rsid w:val="00FE6865"/>
    <w:rsid w:val="00FE6993"/>
    <w:rsid w:val="00FF6200"/>
    <w:rsid w:val="039B7D57"/>
    <w:rsid w:val="054D7BD9"/>
    <w:rsid w:val="09084027"/>
    <w:rsid w:val="09E5284C"/>
    <w:rsid w:val="10237D47"/>
    <w:rsid w:val="10FA55EC"/>
    <w:rsid w:val="12183227"/>
    <w:rsid w:val="14773780"/>
    <w:rsid w:val="14812163"/>
    <w:rsid w:val="163C7970"/>
    <w:rsid w:val="1E9624D1"/>
    <w:rsid w:val="1FCB244E"/>
    <w:rsid w:val="295033A7"/>
    <w:rsid w:val="2AD424B9"/>
    <w:rsid w:val="3E330D78"/>
    <w:rsid w:val="438937A4"/>
    <w:rsid w:val="439D4BBA"/>
    <w:rsid w:val="466138A1"/>
    <w:rsid w:val="49140382"/>
    <w:rsid w:val="5434795A"/>
    <w:rsid w:val="552D1179"/>
    <w:rsid w:val="5BFD12C8"/>
    <w:rsid w:val="5EFB5ACE"/>
    <w:rsid w:val="5F100219"/>
    <w:rsid w:val="657C4060"/>
    <w:rsid w:val="65E20B49"/>
    <w:rsid w:val="666E3081"/>
    <w:rsid w:val="67414AFB"/>
    <w:rsid w:val="67B95039"/>
    <w:rsid w:val="6A99097B"/>
    <w:rsid w:val="71635B01"/>
    <w:rsid w:val="73277BE7"/>
    <w:rsid w:val="734E37CA"/>
    <w:rsid w:val="74E365C3"/>
  </w:rsid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nhideWhenUsed="0" w:uiPriority="0" w:name="footnote text"/>
    <w:lsdException w:qFormat="1" w:uiPriority="99" w:semiHidden="0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iPriority="0" w:semiHidden="0" w:name="footnote reference"/>
    <w:lsdException w:qFormat="1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0" w:semiHidden="0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0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33"/>
    <w:qFormat/>
    <w:uiPriority w:val="9"/>
    <w:pPr>
      <w:ind w:firstLine="600" w:firstLineChars="200"/>
      <w:outlineLvl w:val="0"/>
    </w:pPr>
    <w:rPr>
      <w:rFonts w:ascii="黑体" w:hAnsi="黑体" w:eastAsia="黑体" w:cs="宋体"/>
      <w:color w:val="000000"/>
      <w:kern w:val="0"/>
      <w:sz w:val="30"/>
      <w:szCs w:val="30"/>
    </w:rPr>
  </w:style>
  <w:style w:type="paragraph" w:styleId="3">
    <w:name w:val="heading 2"/>
    <w:basedOn w:val="1"/>
    <w:next w:val="1"/>
    <w:link w:val="34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 w:eastAsia="宋体" w:cs="Times New Roman"/>
      <w:b/>
      <w:bCs/>
      <w:sz w:val="32"/>
      <w:szCs w:val="32"/>
    </w:rPr>
  </w:style>
  <w:style w:type="paragraph" w:styleId="4">
    <w:name w:val="heading 3"/>
    <w:basedOn w:val="1"/>
    <w:next w:val="1"/>
    <w:link w:val="35"/>
    <w:qFormat/>
    <w:uiPriority w:val="9"/>
    <w:pPr>
      <w:ind w:right="300"/>
      <w:outlineLvl w:val="2"/>
    </w:pPr>
    <w:rPr>
      <w:rFonts w:ascii="仿宋_GB2312" w:hAnsi="Calibri" w:eastAsia="仿宋_GB2312" w:cs="Times New Roman"/>
      <w:sz w:val="30"/>
      <w:szCs w:val="30"/>
    </w:rPr>
  </w:style>
  <w:style w:type="character" w:default="1" w:styleId="13">
    <w:name w:val="Default Paragraph Font"/>
    <w:unhideWhenUsed/>
    <w:uiPriority w:val="1"/>
  </w:style>
  <w:style w:type="table" w:default="1" w:styleId="17">
    <w:name w:val="Normal Table"/>
    <w:unhideWhenUsed/>
    <w:qFormat/>
    <w:uiPriority w:val="99"/>
    <w:tblPr>
      <w:tblStyle w:val="17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5">
    <w:name w:val="Document Map"/>
    <w:basedOn w:val="1"/>
    <w:link w:val="39"/>
    <w:unhideWhenUsed/>
    <w:qFormat/>
    <w:uiPriority w:val="0"/>
    <w:rPr>
      <w:rFonts w:ascii="宋体"/>
      <w:sz w:val="18"/>
      <w:szCs w:val="18"/>
    </w:rPr>
  </w:style>
  <w:style w:type="paragraph" w:styleId="6">
    <w:name w:val="annotation text"/>
    <w:basedOn w:val="1"/>
    <w:link w:val="32"/>
    <w:unhideWhenUsed/>
    <w:qFormat/>
    <w:uiPriority w:val="99"/>
    <w:pPr>
      <w:jc w:val="left"/>
    </w:pPr>
    <w:rPr>
      <w:rFonts w:ascii="Calibri" w:hAnsi="Calibri" w:eastAsia="宋体" w:cs="Times New Roman"/>
    </w:rPr>
  </w:style>
  <w:style w:type="paragraph" w:styleId="7">
    <w:name w:val="Balloon Text"/>
    <w:basedOn w:val="1"/>
    <w:link w:val="30"/>
    <w:unhideWhenUsed/>
    <w:uiPriority w:val="0"/>
    <w:rPr>
      <w:sz w:val="18"/>
      <w:szCs w:val="18"/>
    </w:rPr>
  </w:style>
  <w:style w:type="paragraph" w:styleId="8">
    <w:name w:val="footer"/>
    <w:basedOn w:val="1"/>
    <w:link w:val="2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2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footnote text"/>
    <w:basedOn w:val="1"/>
    <w:link w:val="37"/>
    <w:semiHidden/>
    <w:qFormat/>
    <w:uiPriority w:val="0"/>
    <w:pPr>
      <w:snapToGrid w:val="0"/>
      <w:jc w:val="left"/>
    </w:pPr>
    <w:rPr>
      <w:rFonts w:ascii="Times New Roman" w:hAnsi="Times New Roman"/>
      <w:sz w:val="18"/>
      <w:szCs w:val="18"/>
    </w:rPr>
  </w:style>
  <w:style w:type="paragraph" w:styleId="11">
    <w:name w:val="HTML Preformatted"/>
    <w:basedOn w:val="1"/>
    <w:link w:val="31"/>
    <w:unhideWhenUsed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2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14">
    <w:name w:val="Hyperlink"/>
    <w:basedOn w:val="13"/>
    <w:unhideWhenUsed/>
    <w:uiPriority w:val="99"/>
    <w:rPr>
      <w:rFonts w:hint="default" w:ascii="ˎ̥" w:hAnsi="ˎ̥"/>
      <w:color w:val="0453CC"/>
      <w:sz w:val="20"/>
      <w:szCs w:val="20"/>
      <w:u w:val="none"/>
    </w:rPr>
  </w:style>
  <w:style w:type="character" w:styleId="15">
    <w:name w:val="annotation reference"/>
    <w:basedOn w:val="13"/>
    <w:unhideWhenUsed/>
    <w:qFormat/>
    <w:uiPriority w:val="0"/>
    <w:rPr>
      <w:sz w:val="21"/>
      <w:szCs w:val="21"/>
    </w:rPr>
  </w:style>
  <w:style w:type="character" w:styleId="16">
    <w:name w:val="footnote reference"/>
    <w:unhideWhenUsed/>
    <w:qFormat/>
    <w:uiPriority w:val="0"/>
    <w:rPr>
      <w:rFonts w:ascii="Times New Roman" w:hAnsi="Times New Roman" w:cs="Times New Roman"/>
      <w:vertAlign w:val="superscript"/>
    </w:rPr>
  </w:style>
  <w:style w:type="table" w:styleId="18">
    <w:name w:val="Table Grid"/>
    <w:basedOn w:val="17"/>
    <w:uiPriority w:val="59"/>
    <w:pPr/>
    <w:tblPr>
      <w:tblStyle w:val="17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customStyle="1" w:styleId="19">
    <w:name w:val="List Paragraph"/>
    <w:basedOn w:val="1"/>
    <w:qFormat/>
    <w:uiPriority w:val="34"/>
    <w:pPr>
      <w:ind w:firstLine="420" w:firstLineChars="200"/>
    </w:pPr>
  </w:style>
  <w:style w:type="paragraph" w:customStyle="1" w:styleId="20">
    <w:name w:val="Default"/>
    <w:qFormat/>
    <w:uiPriority w:val="99"/>
    <w:pPr>
      <w:widowControl w:val="0"/>
      <w:autoSpaceDE w:val="0"/>
      <w:autoSpaceDN w:val="0"/>
      <w:adjustRightInd w:val="0"/>
    </w:pPr>
    <w:rPr>
      <w:rFonts w:ascii="仿宋_GB2312" w:hAnsi="Calibri" w:eastAsia="仿宋_GB2312" w:cs="仿宋_GB2312"/>
      <w:color w:val="000000"/>
      <w:kern w:val="0"/>
      <w:sz w:val="24"/>
      <w:szCs w:val="24"/>
      <w:lang w:val="en-US" w:eastAsia="zh-CN" w:bidi="ar-SA"/>
    </w:rPr>
  </w:style>
  <w:style w:type="paragraph" w:customStyle="1" w:styleId="21">
    <w:name w:val="juzhong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22">
    <w:name w:val="Revision"/>
    <w:hidden/>
    <w:semiHidden/>
    <w:qFormat/>
    <w:uiPriority w:val="99"/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paragraph" w:customStyle="1" w:styleId="23">
    <w:name w:val="列出段落1"/>
    <w:basedOn w:val="1"/>
    <w:qFormat/>
    <w:uiPriority w:val="34"/>
    <w:pPr>
      <w:ind w:firstLine="420" w:firstLineChars="200"/>
    </w:pPr>
    <w:rPr>
      <w:rFonts w:ascii="Calibri" w:hAnsi="Calibri" w:eastAsia="宋体" w:cs="Times New Roman"/>
    </w:rPr>
  </w:style>
  <w:style w:type="paragraph" w:customStyle="1" w:styleId="24">
    <w:name w:val="列出段落4"/>
    <w:basedOn w:val="1"/>
    <w:qFormat/>
    <w:uiPriority w:val="0"/>
    <w:pPr>
      <w:ind w:firstLine="200" w:firstLineChars="200"/>
    </w:pPr>
    <w:rPr>
      <w:rFonts w:ascii="Calibri" w:hAnsi="Calibri" w:eastAsia="宋体" w:cs="Times New Roman"/>
    </w:rPr>
  </w:style>
  <w:style w:type="paragraph" w:customStyle="1" w:styleId="25">
    <w:name w:val="列出段落3"/>
    <w:basedOn w:val="1"/>
    <w:qFormat/>
    <w:uiPriority w:val="0"/>
    <w:pPr>
      <w:ind w:firstLine="420" w:firstLineChars="200"/>
    </w:pPr>
    <w:rPr>
      <w:rFonts w:ascii="Times New Roman" w:hAnsi="Times New Roman" w:eastAsia="宋体" w:cs="Times New Roman"/>
      <w:szCs w:val="24"/>
    </w:rPr>
  </w:style>
  <w:style w:type="paragraph" w:customStyle="1" w:styleId="26">
    <w:name w:val="p0"/>
    <w:basedOn w:val="1"/>
    <w:uiPriority w:val="0"/>
    <w:pPr>
      <w:widowControl/>
    </w:pPr>
    <w:rPr>
      <w:rFonts w:ascii="Calibri" w:hAnsi="Calibri" w:eastAsia="宋体" w:cs="宋体"/>
      <w:kern w:val="0"/>
      <w:szCs w:val="21"/>
    </w:rPr>
  </w:style>
  <w:style w:type="paragraph" w:customStyle="1" w:styleId="27">
    <w:name w:val="Heading 1"/>
    <w:basedOn w:val="1"/>
    <w:qFormat/>
    <w:uiPriority w:val="1"/>
    <w:pPr>
      <w:spacing w:line="541" w:lineRule="exact"/>
      <w:ind w:left="1919" w:right="2017"/>
      <w:jc w:val="center"/>
      <w:outlineLvl w:val="1"/>
    </w:pPr>
    <w:rPr>
      <w:rFonts w:ascii="Noto Sans Mono CJK JP Regular" w:hAnsi="Noto Sans Mono CJK JP Regular" w:eastAsia="Noto Sans Mono CJK JP Regular" w:cs="Noto Sans Mono CJK JP Regular"/>
      <w:sz w:val="36"/>
      <w:szCs w:val="36"/>
    </w:rPr>
  </w:style>
  <w:style w:type="character" w:customStyle="1" w:styleId="28">
    <w:name w:val="页眉 Char"/>
    <w:basedOn w:val="13"/>
    <w:link w:val="9"/>
    <w:uiPriority w:val="99"/>
    <w:rPr>
      <w:sz w:val="18"/>
      <w:szCs w:val="18"/>
    </w:rPr>
  </w:style>
  <w:style w:type="character" w:customStyle="1" w:styleId="29">
    <w:name w:val="页脚 Char"/>
    <w:basedOn w:val="13"/>
    <w:link w:val="8"/>
    <w:uiPriority w:val="99"/>
    <w:rPr>
      <w:sz w:val="18"/>
      <w:szCs w:val="18"/>
    </w:rPr>
  </w:style>
  <w:style w:type="character" w:customStyle="1" w:styleId="30">
    <w:name w:val="批注框文本 Char"/>
    <w:basedOn w:val="13"/>
    <w:link w:val="7"/>
    <w:semiHidden/>
    <w:uiPriority w:val="0"/>
    <w:rPr>
      <w:sz w:val="18"/>
      <w:szCs w:val="18"/>
    </w:rPr>
  </w:style>
  <w:style w:type="character" w:customStyle="1" w:styleId="31">
    <w:name w:val="HTML 预设格式 Char"/>
    <w:basedOn w:val="13"/>
    <w:link w:val="11"/>
    <w:uiPriority w:val="99"/>
    <w:rPr>
      <w:rFonts w:ascii="宋体" w:hAnsi="宋体" w:eastAsia="宋体" w:cs="宋体"/>
      <w:kern w:val="0"/>
      <w:sz w:val="24"/>
      <w:szCs w:val="24"/>
    </w:rPr>
  </w:style>
  <w:style w:type="character" w:customStyle="1" w:styleId="32">
    <w:name w:val="批注文字 Char"/>
    <w:basedOn w:val="13"/>
    <w:link w:val="6"/>
    <w:semiHidden/>
    <w:qFormat/>
    <w:uiPriority w:val="0"/>
    <w:rPr>
      <w:rFonts w:ascii="Calibri" w:hAnsi="Calibri" w:eastAsia="宋体" w:cs="Times New Roman"/>
    </w:rPr>
  </w:style>
  <w:style w:type="character" w:customStyle="1" w:styleId="33">
    <w:name w:val="标题 1 Char"/>
    <w:basedOn w:val="13"/>
    <w:link w:val="2"/>
    <w:qFormat/>
    <w:uiPriority w:val="9"/>
    <w:rPr>
      <w:rFonts w:ascii="黑体" w:hAnsi="黑体" w:eastAsia="黑体" w:cs="宋体"/>
      <w:color w:val="000000"/>
      <w:kern w:val="0"/>
      <w:sz w:val="30"/>
      <w:szCs w:val="30"/>
    </w:rPr>
  </w:style>
  <w:style w:type="character" w:customStyle="1" w:styleId="34">
    <w:name w:val="标题 2 Char"/>
    <w:basedOn w:val="13"/>
    <w:link w:val="3"/>
    <w:qFormat/>
    <w:uiPriority w:val="0"/>
    <w:rPr>
      <w:rFonts w:ascii="Cambria" w:hAnsi="Cambria" w:eastAsia="宋体" w:cs="Times New Roman"/>
      <w:b/>
      <w:bCs/>
      <w:sz w:val="32"/>
      <w:szCs w:val="32"/>
    </w:rPr>
  </w:style>
  <w:style w:type="character" w:customStyle="1" w:styleId="35">
    <w:name w:val="标题 3 Char"/>
    <w:basedOn w:val="13"/>
    <w:link w:val="4"/>
    <w:qFormat/>
    <w:uiPriority w:val="9"/>
    <w:rPr>
      <w:rFonts w:ascii="仿宋_GB2312" w:hAnsi="Calibri" w:eastAsia="仿宋_GB2312" w:cs="Times New Roman"/>
      <w:sz w:val="30"/>
      <w:szCs w:val="30"/>
    </w:rPr>
  </w:style>
  <w:style w:type="character" w:customStyle="1" w:styleId="36">
    <w:name w:val="脚注文本 Char"/>
    <w:basedOn w:val="13"/>
    <w:semiHidden/>
    <w:uiPriority w:val="99"/>
    <w:rPr>
      <w:kern w:val="2"/>
      <w:sz w:val="18"/>
      <w:szCs w:val="18"/>
    </w:rPr>
  </w:style>
  <w:style w:type="character" w:customStyle="1" w:styleId="37">
    <w:name w:val="脚注文本 Char1"/>
    <w:basedOn w:val="13"/>
    <w:link w:val="10"/>
    <w:semiHidden/>
    <w:qFormat/>
    <w:uiPriority w:val="0"/>
    <w:rPr>
      <w:rFonts w:ascii="Times New Roman" w:hAnsi="Times New Roman"/>
      <w:sz w:val="18"/>
      <w:szCs w:val="18"/>
    </w:rPr>
  </w:style>
  <w:style w:type="character" w:customStyle="1" w:styleId="38">
    <w:name w:val="标题 4 Char Char"/>
    <w:qFormat/>
    <w:uiPriority w:val="0"/>
    <w:rPr>
      <w:rFonts w:ascii="Calibri" w:hAnsi="Calibri"/>
      <w:b/>
      <w:bCs/>
      <w:sz w:val="28"/>
      <w:szCs w:val="28"/>
      <w:lang w:eastAsia="en-US" w:bidi="en-US"/>
    </w:rPr>
  </w:style>
  <w:style w:type="character" w:customStyle="1" w:styleId="39">
    <w:name w:val="文档结构图 Char"/>
    <w:basedOn w:val="13"/>
    <w:link w:val="5"/>
    <w:uiPriority w:val="0"/>
    <w:rPr>
      <w:rFonts w:ascii="宋体"/>
      <w:sz w:val="18"/>
      <w:szCs w:val="18"/>
    </w:rPr>
  </w:style>
  <w:style w:type="character" w:customStyle="1" w:styleId="40">
    <w:name w:val="批注文字 Char1"/>
    <w:basedOn w:val="13"/>
    <w:semiHidden/>
    <w:qFormat/>
    <w:uiPriority w:val="99"/>
    <w:rPr>
      <w:kern w:val="2"/>
      <w:sz w:val="21"/>
      <w:szCs w:val="22"/>
    </w:rPr>
  </w:style>
  <w:style w:type="character" w:customStyle="1" w:styleId="41">
    <w:name w:val="Intense Emphasis"/>
    <w:basedOn w:val="13"/>
    <w:qFormat/>
    <w:uiPriority w:val="21"/>
    <w:rPr>
      <w:b/>
      <w:bCs/>
      <w:i/>
      <w:iCs/>
      <w:color w:val="4F81BD"/>
    </w:rPr>
  </w:style>
  <w:style w:type="character" w:customStyle="1" w:styleId="42">
    <w:name w:val="文档结构图 Char1"/>
    <w:basedOn w:val="13"/>
    <w:semiHidden/>
    <w:qFormat/>
    <w:uiPriority w:val="99"/>
    <w:rPr>
      <w:rFonts w:ascii="宋体" w:eastAsia="宋体"/>
      <w:sz w:val="18"/>
      <w:szCs w:val="18"/>
    </w:rPr>
  </w:style>
  <w:style w:type="character" w:customStyle="1" w:styleId="43">
    <w:name w:val="脚注文本 Char2"/>
    <w:basedOn w:val="1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407</Words>
  <Characters>2322</Characters>
  <Lines>19</Lines>
  <Paragraphs>5</Paragraphs>
  <ScaleCrop>false</ScaleCrop>
  <LinksUpToDate>false</LinksUpToDate>
  <CharactersWithSpaces>0</CharactersWithSpaces>
  <Application>WPS Office 专业版_9.1.0.4940_F1E327BC-269C-435d-A152-05C5408002CA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2020-02-27T06:09:00Z</dcterms:created>
  <dc:creator>裴建君2</dc:creator>
  <cp:lastModifiedBy>丁蒙/办公室/南宁/PBC</cp:lastModifiedBy>
  <cp:lastPrinted>2020-09-08T02:25:00Z</cp:lastPrinted>
  <dcterms:modified xsi:type="dcterms:W3CDTF">2021-12-30T10:13:57Z</dcterms:modified>
  <dc:title>编号：57017               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2052-9.1.0.4940</vt:lpwstr>
  </property>
</Properties>
</file>