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right="3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编号：57016</w:t>
      </w:r>
      <w:r>
        <w:rPr>
          <w:rFonts w:hint="eastAsia" w:ascii="Times New Roman" w:hAnsi="Times New Roman" w:eastAsia="黑体" w:cs="Times New Roman"/>
          <w:color w:val="auto"/>
          <w:sz w:val="30"/>
          <w:szCs w:val="30"/>
        </w:rPr>
        <w:t xml:space="preserve">               </w:t>
      </w: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52"/>
          <w:szCs w:val="52"/>
        </w:rPr>
      </w:pPr>
      <w:r>
        <w:rPr>
          <w:rFonts w:ascii="Times New Roman" w:hAnsi="Times New Roman" w:eastAsia="黑体" w:cs="Times New Roman"/>
          <w:color w:val="auto"/>
          <w:sz w:val="52"/>
          <w:szCs w:val="52"/>
        </w:rPr>
        <w:t>“外币现钞提取、调运和携带出境审核”行政审批服务指南</w:t>
      </w: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52"/>
          <w:szCs w:val="52"/>
        </w:rPr>
      </w:pP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52"/>
          <w:szCs w:val="52"/>
        </w:rPr>
      </w:pP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52"/>
          <w:szCs w:val="52"/>
        </w:rPr>
      </w:pP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52"/>
          <w:szCs w:val="52"/>
        </w:rPr>
      </w:pP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52"/>
          <w:szCs w:val="52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sz w:val="52"/>
          <w:szCs w:val="52"/>
          <w:lang w:val="en-US" w:eastAsia="zh-CN"/>
        </w:rPr>
      </w:pPr>
    </w:p>
    <w:p>
      <w:pPr>
        <w:ind w:right="300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国家外汇管理局广西壮族自治区分局</w:t>
      </w: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202</w:t>
      </w:r>
      <w:r>
        <w:rPr>
          <w:rFonts w:hint="eastAsia" w:ascii="宋体" w:hAnsi="宋体" w:cs="宋体"/>
          <w:b w:val="0"/>
          <w:bCs w:val="0"/>
          <w:color w:val="auto"/>
          <w:sz w:val="40"/>
          <w:szCs w:val="40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年</w:t>
      </w:r>
      <w:r>
        <w:rPr>
          <w:rFonts w:hint="eastAsia" w:ascii="宋体" w:hAnsi="宋体" w:cs="宋体"/>
          <w:b w:val="0"/>
          <w:bCs w:val="0"/>
          <w:color w:val="auto"/>
          <w:sz w:val="40"/>
          <w:szCs w:val="40"/>
          <w:lang w:val="en-US" w:eastAsia="zh-CN"/>
        </w:rPr>
        <w:t>12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月</w:t>
      </w: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ascii="Times New Roman" w:hAnsi="Times New Roman" w:eastAsia="黑体" w:cs="Times New Roman"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一、项目信息</w:t>
      </w:r>
    </w:p>
    <w:p>
      <w:pPr>
        <w:adjustRightInd w:val="0"/>
        <w:snapToGrid w:val="0"/>
        <w:spacing w:line="360" w:lineRule="auto"/>
        <w:ind w:firstLine="585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项目名称：外币现钞提取、调运和携带出境审核；</w:t>
      </w:r>
    </w:p>
    <w:p>
      <w:pPr>
        <w:adjustRightInd w:val="0"/>
        <w:snapToGrid w:val="0"/>
        <w:spacing w:line="360" w:lineRule="auto"/>
        <w:ind w:firstLine="585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项目编号：57016；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审批类别：行政许可。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二、适用范围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本指南适用于“外币现钞提取、调运和携带出境审核”的申请和办理。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三、设定依据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（一）《中华人民共和国外汇管理条例》（国务院令第532号）第十五条：“携带、申报外币现钞出入境的限额，由国务院外汇管理部门规定”；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（二）《国务院对确需保留的行政审批项目设定行政许可的决定》（国务院令第412号）附件第495项“机构单笔提取超过规定金额外币现钞审批”。</w:t>
      </w:r>
    </w:p>
    <w:p>
      <w:pPr>
        <w:adjustRightInd w:val="0"/>
        <w:snapToGrid w:val="0"/>
        <w:spacing w:line="360" w:lineRule="auto"/>
        <w:ind w:firstLine="450" w:firstLineChars="15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四、</w:t>
      </w:r>
      <w:r>
        <w:rPr>
          <w:rFonts w:hint="eastAsia" w:ascii="Times New Roman" w:hAnsi="Times New Roman" w:eastAsia="黑体" w:cs="Times New Roman"/>
          <w:color w:val="auto"/>
          <w:sz w:val="30"/>
          <w:szCs w:val="30"/>
        </w:rPr>
        <w:t>服务贸易项下</w:t>
      </w:r>
      <w:r>
        <w:rPr>
          <w:rFonts w:ascii="Times New Roman" w:hAnsi="Times New Roman" w:eastAsia="黑体" w:cs="Times New Roman"/>
          <w:color w:val="auto"/>
          <w:sz w:val="30"/>
          <w:szCs w:val="30"/>
        </w:rPr>
        <w:t>外币现钞提取审批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（一）办理依据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1.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《国家外汇管理局关于印发〈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经常项目外汇业务指引（2020年版）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〉的通知》（汇发</w:t>
      </w:r>
      <w:r>
        <w:rPr>
          <w:rFonts w:hint="eastAsia" w:ascii="仿宋_GB2312" w:hAnsi="Times New Roman" w:eastAsia="仿宋_GB2312" w:cs="Times New Roman"/>
          <w:color w:val="auto"/>
          <w:sz w:val="30"/>
          <w:szCs w:val="30"/>
        </w:rPr>
        <w:t>〔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2020</w:t>
      </w:r>
      <w:r>
        <w:rPr>
          <w:rFonts w:hint="eastAsia" w:ascii="仿宋_GB2312" w:hAnsi="Times New Roman" w:eastAsia="仿宋_GB2312" w:cs="Times New Roman"/>
          <w:color w:val="auto"/>
          <w:sz w:val="30"/>
          <w:szCs w:val="30"/>
        </w:rPr>
        <w:t>〕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14号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）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（二）受理机构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申请人注册所在地国家外汇管理局分支局。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（三）决定机构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申请人注册所在地国家外汇管理局分支局。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（四）审批数量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无数量限制。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（五）办事条件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申请人为境内机构，有提取外币现钞交易的真实性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、合法性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和必要性。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禁止性要求：申请材料不齐全，不符合法规规定。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黑体" w:cs="Times New Roman"/>
          <w:color w:val="auto"/>
          <w:sz w:val="30"/>
          <w:szCs w:val="30"/>
        </w:rPr>
        <w:t>（六）申请材料</w:t>
      </w:r>
    </w:p>
    <w:tbl>
      <w:tblPr>
        <w:tblStyle w:val="18"/>
        <w:tblW w:w="86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2770"/>
        <w:gridCol w:w="1134"/>
        <w:gridCol w:w="992"/>
        <w:gridCol w:w="1134"/>
        <w:gridCol w:w="1669"/>
        <w:gridCol w:w="4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77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提交材料名称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原件/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复印件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份数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纸质/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电子</w:t>
            </w:r>
          </w:p>
        </w:tc>
        <w:tc>
          <w:tcPr>
            <w:tcW w:w="166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要求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770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交易真实性、合法性和必要性的说明材料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原件和加盖企业公章的复印件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各1份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电子</w:t>
            </w:r>
          </w:p>
        </w:tc>
        <w:tc>
          <w:tcPr>
            <w:tcW w:w="166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如申请人需保留原件，原件验后退申请人</w:t>
            </w:r>
          </w:p>
        </w:tc>
        <w:tc>
          <w:tcPr>
            <w:tcW w:w="457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（七）申请接受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申请人可通过国家外汇管理局分支局窗口提交材料。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（八）基本办理流程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1.申请人提交申请；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 xml:space="preserve">    2.决定是否予以受理；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3.不予受理的，出具不予受理通知书；受理的，出具受理通知书，审核作出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准或者不予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准的决定；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4.对于符合规定条件予以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准的，向申请人出具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准文件；不予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准的，做出不予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准的行政许可书面决定并说明理由；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5.材料不全或不符合法定形式的，一次性告知补正材料，并出具《行政许可补正通知书》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（九）办理方式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一般程序：申请、受理、审查、决定、出具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准文件或不予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准的行政许可书面决定。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当场决定：申请人使用外币现钞的时间较为紧急且申请材料完整符合法规要求，分支局经过规定的内部审批程序，可当场出具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准文件。当场出具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准文件的，可不出具受理通知书。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（十）审批时限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20个工作日。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（十一）审批收费依据及标准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不收费。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（十二）审批结果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准文件。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（十三）结果送达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通过现场告知或电话通知申请人，并通过现场领取或邮寄方式将结果送达。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（十四）申请人权利和义务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申请人有权依法提出行政审批申请，依法进行投诉、举报、复议、诉讼等。申请人有义务保证申请材料完整、真实、准确，获批后合法合规办理相关业务。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（十五）咨询途径、监督和投诉、公开查询等由所在地分支局办理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1.国家外汇管理局广西壮族自治区分局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（1）咨询途径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现场咨询：广西南宁市青秀区滨湖路58号中国人民银行南宁中心支行七楼704室。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电话咨询：0771-6111216、0771-6111312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网站咨询：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咨询反馈栏目。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（2）监督和投诉途径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 w:val="0"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0"/>
          <w:szCs w:val="30"/>
          <w:lang w:val="en-US" w:eastAsia="zh-CN"/>
        </w:rPr>
        <w:t>电话投诉：0771-6111357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 w:val="0"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0"/>
          <w:szCs w:val="30"/>
          <w:lang w:val="en-US" w:eastAsia="zh-CN"/>
        </w:rPr>
        <w:t>电子邮箱投诉：gxwgwg@163.com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 w:val="0"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0"/>
          <w:szCs w:val="30"/>
          <w:lang w:val="en-US" w:eastAsia="zh-CN"/>
        </w:rPr>
        <w:t>网站投诉：国家外汇管理局广西壮族自治区分局官方网站（www.safe.gov.cn/guangxi/）咨询反馈栏目。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（3）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eastAsia="zh-CN"/>
        </w:rPr>
        <w:t>公开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</w:rPr>
        <w:t>查询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eastAsia="zh-CN"/>
        </w:rPr>
        <w:t>途径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现场查询：广西南宁市青秀区滨湖路58号中国人民银行南宁中心支行七楼704室。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电话查询：0771-6111216、0771-6111312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600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国家外汇管理局广西区各市中心支局</w:t>
      </w:r>
    </w:p>
    <w:p>
      <w:pPr>
        <w:numPr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 xml:space="preserve">    咨询途径、监督和投诉途径、公开查询途径可通过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/guangxi/）机构设置栏目所示地址和电话进行相应查询。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黑体" w:cs="Times New Roman"/>
          <w:color w:val="auto"/>
          <w:sz w:val="30"/>
          <w:szCs w:val="30"/>
        </w:rPr>
        <w:t>（十六）事项审查类型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前审后批。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黑体" w:cs="Times New Roman"/>
          <w:color w:val="auto"/>
          <w:sz w:val="30"/>
          <w:szCs w:val="30"/>
        </w:rPr>
        <w:t>（十七）办公地址和时间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_GB2312" w:hAnsi="Times New Roman" w:eastAsia="仿宋_GB2312"/>
          <w:b/>
          <w:bCs/>
          <w:color w:val="auto"/>
          <w:sz w:val="30"/>
          <w:szCs w:val="30"/>
        </w:rPr>
      </w:pPr>
      <w:r>
        <w:rPr>
          <w:rFonts w:hint="eastAsia" w:ascii="仿宋_GB2312" w:hAnsi="Times New Roman" w:eastAsia="仿宋_GB2312"/>
          <w:b/>
          <w:bCs/>
          <w:color w:val="auto"/>
          <w:sz w:val="30"/>
          <w:szCs w:val="30"/>
          <w:lang w:val="en-US" w:eastAsia="zh-CN"/>
        </w:rPr>
        <w:t>1.</w:t>
      </w:r>
      <w:r>
        <w:rPr>
          <w:rFonts w:hint="eastAsia" w:ascii="仿宋_GB2312" w:hAnsi="Times New Roman" w:eastAsia="仿宋_GB2312"/>
          <w:b/>
          <w:bCs/>
          <w:color w:val="auto"/>
          <w:sz w:val="30"/>
          <w:szCs w:val="30"/>
        </w:rPr>
        <w:t>国家外汇管理局广西壮族自治区分局</w:t>
      </w:r>
    </w:p>
    <w:p>
      <w:pPr>
        <w:adjustRightInd w:val="0"/>
        <w:snapToGrid w:val="0"/>
        <w:spacing w:line="360" w:lineRule="auto"/>
        <w:rPr>
          <w:rFonts w:hint="eastAsia" w:ascii="仿宋_GB2312" w:hAnsi="Times New Roman" w:eastAsia="仿宋_GB2312"/>
          <w:color w:val="auto"/>
          <w:sz w:val="30"/>
          <w:szCs w:val="30"/>
        </w:rPr>
      </w:pPr>
      <w:r>
        <w:rPr>
          <w:rFonts w:hint="eastAsia" w:ascii="仿宋_GB2312" w:hAnsi="Times New Roman" w:eastAsia="仿宋_GB2312"/>
          <w:color w:val="auto"/>
          <w:sz w:val="30"/>
          <w:szCs w:val="30"/>
          <w:lang w:val="en-US" w:eastAsia="zh-CN"/>
        </w:rPr>
        <w:t xml:space="preserve">    办公</w:t>
      </w:r>
      <w:r>
        <w:rPr>
          <w:rFonts w:hint="eastAsia" w:ascii="仿宋_GB2312" w:hAnsi="Times New Roman" w:eastAsia="仿宋_GB2312"/>
          <w:color w:val="auto"/>
          <w:sz w:val="30"/>
          <w:szCs w:val="30"/>
        </w:rPr>
        <w:t>地址：广西南宁市青秀区滨湖路58号中国人民银行南宁中心支行</w:t>
      </w:r>
      <w:r>
        <w:rPr>
          <w:rFonts w:hint="eastAsia" w:ascii="仿宋_GB2312" w:hAnsi="Times New Roman" w:eastAsia="仿宋_GB2312"/>
          <w:color w:val="auto"/>
          <w:sz w:val="30"/>
          <w:szCs w:val="30"/>
          <w:lang w:eastAsia="zh-CN"/>
        </w:rPr>
        <w:t>七楼704室</w:t>
      </w:r>
      <w:r>
        <w:rPr>
          <w:rFonts w:hint="eastAsia" w:ascii="仿宋_GB2312" w:hAnsi="Times New Roman" w:eastAsia="仿宋_GB2312"/>
          <w:color w:val="auto"/>
          <w:sz w:val="30"/>
          <w:szCs w:val="30"/>
        </w:rPr>
        <w:t>。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_GB2312" w:hAnsi="Times New Roman" w:eastAsia="仿宋_GB2312"/>
          <w:color w:val="auto"/>
          <w:sz w:val="30"/>
          <w:szCs w:val="30"/>
        </w:rPr>
      </w:pPr>
      <w:r>
        <w:rPr>
          <w:rFonts w:hint="eastAsia" w:ascii="仿宋_GB2312" w:hAnsi="Times New Roman" w:eastAsia="仿宋_GB2312"/>
          <w:color w:val="auto"/>
          <w:sz w:val="30"/>
          <w:szCs w:val="30"/>
          <w:lang w:eastAsia="zh-CN"/>
        </w:rPr>
        <w:t>办公</w:t>
      </w:r>
      <w:r>
        <w:rPr>
          <w:rFonts w:hint="eastAsia" w:ascii="仿宋_GB2312" w:hAnsi="Times New Roman" w:eastAsia="仿宋_GB2312"/>
          <w:color w:val="auto"/>
          <w:sz w:val="30"/>
          <w:szCs w:val="30"/>
        </w:rPr>
        <w:t xml:space="preserve">时间：工作日，上午：08:30-12:00，下午：02:30-05:30。 </w:t>
      </w:r>
    </w:p>
    <w:p>
      <w:pPr>
        <w:numPr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Times New Roman" w:eastAsia="仿宋_GB2312"/>
          <w:b/>
          <w:bCs/>
          <w:color w:val="auto"/>
          <w:sz w:val="30"/>
          <w:szCs w:val="30"/>
          <w:lang w:val="en-US" w:eastAsia="zh-CN"/>
        </w:rPr>
        <w:t xml:space="preserve">    2.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国家外汇管理局广西区各市中心支局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办公地址：通过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/guangxi/）机构设置栏目进行查询。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办公时间：可通过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/guangxi/）机构设置栏目所示电话进行咨询。</w:t>
      </w:r>
    </w:p>
    <w:p>
      <w:pPr>
        <w:ind w:right="600"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黑体" w:cs="Times New Roman"/>
          <w:color w:val="auto"/>
          <w:sz w:val="30"/>
          <w:szCs w:val="30"/>
        </w:rPr>
        <w:t>（十八）常见问题解答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1.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受理后几个工作日能办结？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按照法规要求，正式受理后，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20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个工作日内可以批复。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黑体" w:cs="Times New Roman"/>
          <w:color w:val="auto"/>
          <w:sz w:val="30"/>
          <w:szCs w:val="30"/>
        </w:rPr>
        <w:t>（十九）常见错误示例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汇路通畅，但申请提取外币现钞。</w:t>
      </w:r>
    </w:p>
    <w:p>
      <w:pPr>
        <w:ind w:right="300" w:firstLine="600"/>
        <w:rPr>
          <w:rFonts w:ascii="Times New Roman" w:hAnsi="Times New Roman" w:eastAsia="仿宋_GB2312" w:cs="Times New Roman"/>
          <w:color w:val="auto"/>
          <w:sz w:val="30"/>
          <w:szCs w:val="30"/>
        </w:rPr>
        <w:sectPr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ind w:right="3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附录</w:t>
      </w: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基本流程图</w:t>
      </w:r>
    </w:p>
    <w:p>
      <w:pPr>
        <w:adjustRightInd w:val="0"/>
        <w:snapToGrid w:val="0"/>
        <w:spacing w:line="360" w:lineRule="auto"/>
        <w:ind w:firstLine="585"/>
        <w:rPr>
          <w:color w:val="auto"/>
        </w:rPr>
      </w:pPr>
      <w:r>
        <w:rPr>
          <w:rFonts w:ascii="Calibri" w:hAnsi="Calibri" w:eastAsia="宋体" w:cs="黑体"/>
          <w:color w:val="auto"/>
          <w:kern w:val="2"/>
          <w:sz w:val="21"/>
          <w:szCs w:val="22"/>
          <w:lang w:val="en-US" w:eastAsia="zh-CN" w:bidi="ar-SA"/>
        </w:rPr>
        <w:pict>
          <v:group id="Group 28" o:spid="_x0000_s1026" style="position:absolute;left:0;margin-left:-37.5pt;margin-top:34.6pt;height:473.85pt;width:461.45pt;rotation:0f;z-index:251658240;" coordorigin="1050,3380" coordsize="9229,9477">
            <o:lock v:ext="edit" position="f" selection="f" grouping="f" rotation="f" cropping="f" text="f" aspectratio="f"/>
            <v:shape id="AutoShape 329" o:spid="_x0000_s1027" type="#_x0000_t32" style="position:absolute;left:2612;top:4552;height:1468;width:17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330" o:spid="_x0000_s1028" type="#_x0000_t32" style="position:absolute;left:4275;top:5903;height:1;width:564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331" o:spid="_x0000_s1029" type="#_x0000_t32" style="position:absolute;left:4275;top:6752;height:1;width:564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332" o:spid="_x0000_s1030" type="#_x0000_t32" style="position:absolute;left:8707;top:5320;flip:y;height:895;width:1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333" o:spid="_x0000_s1031" type="#_x0000_t32" style="position:absolute;left:2629;top:5005;flip:x;height:1;width:4643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334" o:spid="_x0000_s1032" type="#_x0000_t32" style="position:absolute;left:5002;top:9276;height:437;width:0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335" o:spid="_x0000_s1033" type="#_x0000_t32" style="position:absolute;left:4986;top:11195;height:905;width:1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336" o:spid="_x0000_s1034" type="#_x0000_t32" style="position:absolute;left:2627;top:7405;height:1391;width:0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</v:shape>
            <v:shape id="AutoShape 337" o:spid="_x0000_s1035" type="#_x0000_t32" style="position:absolute;left:2627;top:8811;height:0;width:822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338" o:spid="_x0000_s1036" type="#_x0000_t110" style="position:absolute;left:1050;top:5387;height:2007;width:3127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pPr>
                      <w:adjustRightInd w:val="0"/>
                      <w:snapToGrid w:val="0"/>
                    </w:pPr>
                    <w:r>
                      <w:rPr>
                        <w:rFonts w:hint="eastAsia"/>
                      </w:rPr>
                      <w:t>接件并于</w:t>
                    </w:r>
                    <w:r>
                      <w:rPr>
                        <w:rFonts w:ascii="Times New Roman" w:hAnsi="Times New Roman" w:cs="Times New Roman"/>
                      </w:rPr>
                      <w:t>5</w:t>
                    </w:r>
                    <w:r>
                      <w:rPr>
                        <w:rFonts w:hint="eastAsia"/>
                      </w:rPr>
                      <w:t>个工作日作出是否受理决定</w:t>
                    </w:r>
                  </w:p>
                </w:txbxContent>
              </v:textbox>
            </v:shape>
            <v:shape id="AutoShape 339" o:spid="_x0000_s1037" type="#_x0000_t32" style="position:absolute;left:4290;top:5933;height:804;width:0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</v:shape>
            <v:rect id="Rectangle 341" o:spid="_x0000_s1038" style="position:absolute;left:7272;top:4573;height:720;width:2929;rotation:0f;" o:ole="f" fillcolor="#FFFFFF" filled="t" o:preferrelative="t" stroked="t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申请人补全材料</w:t>
                    </w:r>
                  </w:p>
                </w:txbxContent>
              </v:textbox>
            </v:rect>
            <v:shape id="AutoShape 342" o:spid="_x0000_s1039" type="#_x0000_t109" style="position:absolute;left:4839;top:5591;height:587;width:5440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材料不全或不符合法定形式的，一次性告知补正材料</w:t>
                    </w:r>
                  </w:p>
                </w:txbxContent>
              </v:textbox>
            </v:shape>
            <v:rect id="Rectangle 343" o:spid="_x0000_s1040" style="position:absolute;left:4839;top:6592;height:811;width:5440;rotation:0f;" o:ole="f" fillcolor="#FFFFFF" filled="t" o:preferrelative="t" stroked="t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依法不予受理的，作出不予受理决定，出具不予受理通知书</w:t>
                    </w:r>
                  </w:p>
                </w:txbxContent>
              </v:textbox>
            </v:rect>
            <v:shape id="AutoShape 344" o:spid="_x0000_s1041" type="#_x0000_t109" style="position:absolute;left:3452;top:8461;height:815;width:3227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依法应予受理的，出具受理单</w:t>
                    </w:r>
                  </w:p>
                </w:txbxContent>
              </v:textbox>
            </v:shape>
            <v:shape id="AutoShape 345" o:spid="_x0000_s1042" type="#_x0000_t110" style="position:absolute;left:3456;top:9713;height:1444;width:3064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审查报批</w:t>
                    </w:r>
                  </w:p>
                </w:txbxContent>
              </v:textbox>
            </v:shape>
            <v:shape id="AutoShape 346" o:spid="_x0000_s1043" type="#_x0000_t109" style="position:absolute;left:3452;top:12100;height:757;width:2987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予以许可的，向申请人出具核准书面决定</w:t>
                    </w:r>
                  </w:p>
                  <w:p/>
                </w:txbxContent>
              </v:textbox>
            </v:shape>
            <v:shape id="AutoShape 347" o:spid="_x0000_s1044" type="#_x0000_t109" style="position:absolute;left:7786;top:10041;height:766;width:2298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依法作出不予许可决定</w:t>
                    </w:r>
                  </w:p>
                  <w:p/>
                </w:txbxContent>
              </v:textbox>
            </v:shape>
            <v:shape id="AutoShape 348" o:spid="_x0000_s1045" type="#_x0000_t32" style="position:absolute;left:6520;top:10422;flip:y;height:15;width:1266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349" o:spid="_x0000_s1046" type="#_x0000_t116" style="position:absolute;left:1478;top:3380;height:1172;width:2467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申请人现场提交材料</w:t>
                    </w:r>
                  </w:p>
                  <w:p/>
                </w:txbxContent>
              </v:textbox>
            </v:shape>
            <v:shape id="Straight Connector 49" o:spid="_x0000_s1047" type="#_x0000_t32" style="position:absolute;left:4177;top:6405;height:0;width:98;rotation:0f;" o:ole="f" o:connectortype="straight" fillcolor="#FFFFFF" filled="f" o:preferrelative="t" stroked="t" coordorigin="0,0" coordsize="21600,21600">
              <v:fill on="f" color2="#FFFFFF" focus="0%"/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</v:shape>
          </v:group>
        </w:pict>
      </w:r>
    </w:p>
    <w:sectPr>
      <w:footerReference r:id="rId5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Noto Sans Mono CJK JP Regular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rPr>
        <w:lang w:val="zh-CN"/>
      </w:rPr>
      <w:fldChar w:fldCharType="end"/>
    </w:r>
  </w:p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08604934">
    <w:nsid w:val="5FE15D06"/>
    <w:multiLevelType w:val="singleLevel"/>
    <w:tmpl w:val="5FE15D06"/>
    <w:lvl w:ilvl="0" w:tentative="1">
      <w:start w:val="2"/>
      <w:numFmt w:val="decimal"/>
      <w:suff w:val="nothing"/>
      <w:lvlText w:val="%1."/>
      <w:lvlJc w:val="left"/>
    </w:lvl>
  </w:abstractNum>
  <w:num w:numId="1">
    <w:abstractNumId w:val="16086049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B131E"/>
    <w:rsid w:val="00003372"/>
    <w:rsid w:val="00007600"/>
    <w:rsid w:val="00022191"/>
    <w:rsid w:val="00023783"/>
    <w:rsid w:val="00041960"/>
    <w:rsid w:val="00042B58"/>
    <w:rsid w:val="00054B00"/>
    <w:rsid w:val="00055270"/>
    <w:rsid w:val="0005585E"/>
    <w:rsid w:val="00057F76"/>
    <w:rsid w:val="00062323"/>
    <w:rsid w:val="00064E9E"/>
    <w:rsid w:val="0006560A"/>
    <w:rsid w:val="00072F8A"/>
    <w:rsid w:val="000750C8"/>
    <w:rsid w:val="00080630"/>
    <w:rsid w:val="00091661"/>
    <w:rsid w:val="00092D53"/>
    <w:rsid w:val="00096CBB"/>
    <w:rsid w:val="00097F7B"/>
    <w:rsid w:val="000B1B41"/>
    <w:rsid w:val="000B6901"/>
    <w:rsid w:val="000B728B"/>
    <w:rsid w:val="000B7932"/>
    <w:rsid w:val="000C15B3"/>
    <w:rsid w:val="000C2B33"/>
    <w:rsid w:val="000D1995"/>
    <w:rsid w:val="000D7478"/>
    <w:rsid w:val="00120DFD"/>
    <w:rsid w:val="0012271F"/>
    <w:rsid w:val="00130519"/>
    <w:rsid w:val="00135BEE"/>
    <w:rsid w:val="0014667A"/>
    <w:rsid w:val="00154B58"/>
    <w:rsid w:val="00157C64"/>
    <w:rsid w:val="00157E81"/>
    <w:rsid w:val="00170126"/>
    <w:rsid w:val="00177059"/>
    <w:rsid w:val="00181D3E"/>
    <w:rsid w:val="00186BC2"/>
    <w:rsid w:val="00196FAE"/>
    <w:rsid w:val="001A3E49"/>
    <w:rsid w:val="001A72AA"/>
    <w:rsid w:val="001A7FB9"/>
    <w:rsid w:val="001B09C8"/>
    <w:rsid w:val="001B1E2C"/>
    <w:rsid w:val="001C44C7"/>
    <w:rsid w:val="001D65A2"/>
    <w:rsid w:val="001E1407"/>
    <w:rsid w:val="001F08A9"/>
    <w:rsid w:val="001F4BD4"/>
    <w:rsid w:val="001F7297"/>
    <w:rsid w:val="00205D07"/>
    <w:rsid w:val="00212F39"/>
    <w:rsid w:val="00217116"/>
    <w:rsid w:val="00231EED"/>
    <w:rsid w:val="00233841"/>
    <w:rsid w:val="002341AF"/>
    <w:rsid w:val="002343C8"/>
    <w:rsid w:val="00235736"/>
    <w:rsid w:val="00235F24"/>
    <w:rsid w:val="002417D2"/>
    <w:rsid w:val="00241FE8"/>
    <w:rsid w:val="0024527E"/>
    <w:rsid w:val="00253F7B"/>
    <w:rsid w:val="00263773"/>
    <w:rsid w:val="00263B1F"/>
    <w:rsid w:val="00281976"/>
    <w:rsid w:val="00291C17"/>
    <w:rsid w:val="0029313A"/>
    <w:rsid w:val="002A668C"/>
    <w:rsid w:val="002B0B1C"/>
    <w:rsid w:val="002B598D"/>
    <w:rsid w:val="002B61C1"/>
    <w:rsid w:val="002B7FB8"/>
    <w:rsid w:val="002E1323"/>
    <w:rsid w:val="002F2D2F"/>
    <w:rsid w:val="002F3868"/>
    <w:rsid w:val="00300EF5"/>
    <w:rsid w:val="00302119"/>
    <w:rsid w:val="00302E87"/>
    <w:rsid w:val="00307F23"/>
    <w:rsid w:val="00310261"/>
    <w:rsid w:val="00317654"/>
    <w:rsid w:val="00343044"/>
    <w:rsid w:val="00344B01"/>
    <w:rsid w:val="00353AC4"/>
    <w:rsid w:val="003616B4"/>
    <w:rsid w:val="00372FF6"/>
    <w:rsid w:val="00373EC0"/>
    <w:rsid w:val="003A090F"/>
    <w:rsid w:val="003A57B2"/>
    <w:rsid w:val="003B755F"/>
    <w:rsid w:val="003C0E26"/>
    <w:rsid w:val="003C7132"/>
    <w:rsid w:val="003D77A5"/>
    <w:rsid w:val="003E6BF6"/>
    <w:rsid w:val="003F221D"/>
    <w:rsid w:val="003F3097"/>
    <w:rsid w:val="00402AE8"/>
    <w:rsid w:val="00404C3E"/>
    <w:rsid w:val="00405FE6"/>
    <w:rsid w:val="004105BC"/>
    <w:rsid w:val="00420571"/>
    <w:rsid w:val="00421C27"/>
    <w:rsid w:val="00440A1F"/>
    <w:rsid w:val="00443603"/>
    <w:rsid w:val="00443604"/>
    <w:rsid w:val="004501EA"/>
    <w:rsid w:val="00452108"/>
    <w:rsid w:val="00460458"/>
    <w:rsid w:val="0046792D"/>
    <w:rsid w:val="004767DF"/>
    <w:rsid w:val="00493CCC"/>
    <w:rsid w:val="004A0218"/>
    <w:rsid w:val="004A7840"/>
    <w:rsid w:val="004B545A"/>
    <w:rsid w:val="004B7E80"/>
    <w:rsid w:val="004C457E"/>
    <w:rsid w:val="004C48D5"/>
    <w:rsid w:val="004D03B7"/>
    <w:rsid w:val="004D1436"/>
    <w:rsid w:val="004D57AE"/>
    <w:rsid w:val="004E6A8C"/>
    <w:rsid w:val="005056D4"/>
    <w:rsid w:val="00526B2B"/>
    <w:rsid w:val="005362B0"/>
    <w:rsid w:val="00542447"/>
    <w:rsid w:val="00564312"/>
    <w:rsid w:val="005938DE"/>
    <w:rsid w:val="005A2981"/>
    <w:rsid w:val="005C3FAA"/>
    <w:rsid w:val="005C6937"/>
    <w:rsid w:val="005C7F02"/>
    <w:rsid w:val="005D3CC1"/>
    <w:rsid w:val="005E1B5C"/>
    <w:rsid w:val="005F0A86"/>
    <w:rsid w:val="005F144A"/>
    <w:rsid w:val="005F1C00"/>
    <w:rsid w:val="0061621E"/>
    <w:rsid w:val="00630AA8"/>
    <w:rsid w:val="00630B2E"/>
    <w:rsid w:val="00643D2A"/>
    <w:rsid w:val="0066041A"/>
    <w:rsid w:val="00662122"/>
    <w:rsid w:val="00664E11"/>
    <w:rsid w:val="00673B30"/>
    <w:rsid w:val="00695601"/>
    <w:rsid w:val="00696E5D"/>
    <w:rsid w:val="006A1A06"/>
    <w:rsid w:val="006B49E8"/>
    <w:rsid w:val="006B5B86"/>
    <w:rsid w:val="006C5908"/>
    <w:rsid w:val="006C633E"/>
    <w:rsid w:val="006D56AB"/>
    <w:rsid w:val="006D734F"/>
    <w:rsid w:val="006D74BC"/>
    <w:rsid w:val="006E043F"/>
    <w:rsid w:val="006E4695"/>
    <w:rsid w:val="006E4B8B"/>
    <w:rsid w:val="006E5901"/>
    <w:rsid w:val="0071091C"/>
    <w:rsid w:val="00714961"/>
    <w:rsid w:val="0072105E"/>
    <w:rsid w:val="00744BD5"/>
    <w:rsid w:val="00745748"/>
    <w:rsid w:val="0075038F"/>
    <w:rsid w:val="00750E36"/>
    <w:rsid w:val="00753CB0"/>
    <w:rsid w:val="00755460"/>
    <w:rsid w:val="00761FB7"/>
    <w:rsid w:val="00762107"/>
    <w:rsid w:val="00764CB9"/>
    <w:rsid w:val="00765B05"/>
    <w:rsid w:val="0077269F"/>
    <w:rsid w:val="00785F45"/>
    <w:rsid w:val="007A07F1"/>
    <w:rsid w:val="007A2780"/>
    <w:rsid w:val="007A68EA"/>
    <w:rsid w:val="007B06FC"/>
    <w:rsid w:val="007B0FEF"/>
    <w:rsid w:val="007B2DB5"/>
    <w:rsid w:val="007D2C11"/>
    <w:rsid w:val="007D6171"/>
    <w:rsid w:val="007D69EA"/>
    <w:rsid w:val="007E2C7B"/>
    <w:rsid w:val="007E411B"/>
    <w:rsid w:val="007E4EC2"/>
    <w:rsid w:val="007F0863"/>
    <w:rsid w:val="007F2F3B"/>
    <w:rsid w:val="00802307"/>
    <w:rsid w:val="0082168E"/>
    <w:rsid w:val="00821968"/>
    <w:rsid w:val="00842B82"/>
    <w:rsid w:val="0084639E"/>
    <w:rsid w:val="008471B6"/>
    <w:rsid w:val="00851521"/>
    <w:rsid w:val="0085686A"/>
    <w:rsid w:val="00860878"/>
    <w:rsid w:val="008731FF"/>
    <w:rsid w:val="0087512C"/>
    <w:rsid w:val="0088294A"/>
    <w:rsid w:val="0089282A"/>
    <w:rsid w:val="008A4538"/>
    <w:rsid w:val="008A704B"/>
    <w:rsid w:val="008B08D2"/>
    <w:rsid w:val="008B4EE5"/>
    <w:rsid w:val="008B5807"/>
    <w:rsid w:val="008C3F8E"/>
    <w:rsid w:val="008D5FA0"/>
    <w:rsid w:val="008E2D38"/>
    <w:rsid w:val="008F11E4"/>
    <w:rsid w:val="008F5724"/>
    <w:rsid w:val="008F5900"/>
    <w:rsid w:val="00902633"/>
    <w:rsid w:val="009027D8"/>
    <w:rsid w:val="0090372F"/>
    <w:rsid w:val="00911E27"/>
    <w:rsid w:val="00911E9A"/>
    <w:rsid w:val="0092129A"/>
    <w:rsid w:val="00925BB2"/>
    <w:rsid w:val="00930C8C"/>
    <w:rsid w:val="009360EA"/>
    <w:rsid w:val="00947C57"/>
    <w:rsid w:val="00951149"/>
    <w:rsid w:val="00960EDB"/>
    <w:rsid w:val="009622DB"/>
    <w:rsid w:val="009664BC"/>
    <w:rsid w:val="00980F02"/>
    <w:rsid w:val="00991B77"/>
    <w:rsid w:val="00997523"/>
    <w:rsid w:val="009A0C5D"/>
    <w:rsid w:val="009A58EB"/>
    <w:rsid w:val="009C4672"/>
    <w:rsid w:val="009C491B"/>
    <w:rsid w:val="009D0911"/>
    <w:rsid w:val="009D24F8"/>
    <w:rsid w:val="009D29C7"/>
    <w:rsid w:val="009D688C"/>
    <w:rsid w:val="009F7A36"/>
    <w:rsid w:val="00A249C2"/>
    <w:rsid w:val="00A24FAB"/>
    <w:rsid w:val="00A27E4F"/>
    <w:rsid w:val="00A301E7"/>
    <w:rsid w:val="00A3068F"/>
    <w:rsid w:val="00A42E69"/>
    <w:rsid w:val="00A45CA7"/>
    <w:rsid w:val="00A51415"/>
    <w:rsid w:val="00A6014E"/>
    <w:rsid w:val="00A60356"/>
    <w:rsid w:val="00A66F2C"/>
    <w:rsid w:val="00A7644C"/>
    <w:rsid w:val="00A81DF1"/>
    <w:rsid w:val="00A90EF3"/>
    <w:rsid w:val="00AA7717"/>
    <w:rsid w:val="00AB131E"/>
    <w:rsid w:val="00AB644F"/>
    <w:rsid w:val="00AC3F5E"/>
    <w:rsid w:val="00AD3C59"/>
    <w:rsid w:val="00AE7ACF"/>
    <w:rsid w:val="00B06409"/>
    <w:rsid w:val="00B10912"/>
    <w:rsid w:val="00B16ECA"/>
    <w:rsid w:val="00B17D66"/>
    <w:rsid w:val="00B31FD9"/>
    <w:rsid w:val="00B33782"/>
    <w:rsid w:val="00B35D3A"/>
    <w:rsid w:val="00B422F1"/>
    <w:rsid w:val="00B60EA4"/>
    <w:rsid w:val="00B61A89"/>
    <w:rsid w:val="00B71531"/>
    <w:rsid w:val="00B7456C"/>
    <w:rsid w:val="00B84131"/>
    <w:rsid w:val="00B8630E"/>
    <w:rsid w:val="00B931F4"/>
    <w:rsid w:val="00B95573"/>
    <w:rsid w:val="00B96395"/>
    <w:rsid w:val="00BA2AF8"/>
    <w:rsid w:val="00BA634F"/>
    <w:rsid w:val="00BB2650"/>
    <w:rsid w:val="00BB5BDC"/>
    <w:rsid w:val="00BB7B76"/>
    <w:rsid w:val="00BC7E04"/>
    <w:rsid w:val="00BD233D"/>
    <w:rsid w:val="00BD6698"/>
    <w:rsid w:val="00BF4EF0"/>
    <w:rsid w:val="00C01775"/>
    <w:rsid w:val="00C02E44"/>
    <w:rsid w:val="00C147D2"/>
    <w:rsid w:val="00C2075F"/>
    <w:rsid w:val="00C2377A"/>
    <w:rsid w:val="00C23799"/>
    <w:rsid w:val="00C274C9"/>
    <w:rsid w:val="00C31E02"/>
    <w:rsid w:val="00C3486D"/>
    <w:rsid w:val="00C45BC1"/>
    <w:rsid w:val="00C54291"/>
    <w:rsid w:val="00C672C3"/>
    <w:rsid w:val="00C712B2"/>
    <w:rsid w:val="00C869E6"/>
    <w:rsid w:val="00C94325"/>
    <w:rsid w:val="00C97FED"/>
    <w:rsid w:val="00CA1DBB"/>
    <w:rsid w:val="00CA2622"/>
    <w:rsid w:val="00CA7F2C"/>
    <w:rsid w:val="00CA7FF8"/>
    <w:rsid w:val="00CB5DE7"/>
    <w:rsid w:val="00CC068D"/>
    <w:rsid w:val="00CC4922"/>
    <w:rsid w:val="00CD1FF6"/>
    <w:rsid w:val="00CE25C7"/>
    <w:rsid w:val="00CE3335"/>
    <w:rsid w:val="00CE4849"/>
    <w:rsid w:val="00CE5C8E"/>
    <w:rsid w:val="00CE5F49"/>
    <w:rsid w:val="00D01626"/>
    <w:rsid w:val="00D33A4D"/>
    <w:rsid w:val="00D33F76"/>
    <w:rsid w:val="00D41F5E"/>
    <w:rsid w:val="00D43DC0"/>
    <w:rsid w:val="00D54E56"/>
    <w:rsid w:val="00D6407D"/>
    <w:rsid w:val="00D93E78"/>
    <w:rsid w:val="00DA7D86"/>
    <w:rsid w:val="00DB3AE8"/>
    <w:rsid w:val="00DC4EF7"/>
    <w:rsid w:val="00DC6E91"/>
    <w:rsid w:val="00DC7514"/>
    <w:rsid w:val="00DD3845"/>
    <w:rsid w:val="00E1687A"/>
    <w:rsid w:val="00E20A2E"/>
    <w:rsid w:val="00E277DE"/>
    <w:rsid w:val="00E27C91"/>
    <w:rsid w:val="00E27EE9"/>
    <w:rsid w:val="00E3239D"/>
    <w:rsid w:val="00E3254B"/>
    <w:rsid w:val="00E3439B"/>
    <w:rsid w:val="00E42C5F"/>
    <w:rsid w:val="00E65A1B"/>
    <w:rsid w:val="00E72F1F"/>
    <w:rsid w:val="00E934AB"/>
    <w:rsid w:val="00EA06AC"/>
    <w:rsid w:val="00EA08BF"/>
    <w:rsid w:val="00EA24FB"/>
    <w:rsid w:val="00EB3204"/>
    <w:rsid w:val="00EB50BA"/>
    <w:rsid w:val="00EB5B41"/>
    <w:rsid w:val="00EC3D33"/>
    <w:rsid w:val="00ED302A"/>
    <w:rsid w:val="00ED3A42"/>
    <w:rsid w:val="00EE02BC"/>
    <w:rsid w:val="00EE6970"/>
    <w:rsid w:val="00EF38D0"/>
    <w:rsid w:val="00EF3DDF"/>
    <w:rsid w:val="00EF4A8C"/>
    <w:rsid w:val="00EF4EB8"/>
    <w:rsid w:val="00F2678C"/>
    <w:rsid w:val="00F27B38"/>
    <w:rsid w:val="00F341DD"/>
    <w:rsid w:val="00F40278"/>
    <w:rsid w:val="00F41832"/>
    <w:rsid w:val="00F43EE1"/>
    <w:rsid w:val="00F56988"/>
    <w:rsid w:val="00F5789E"/>
    <w:rsid w:val="00F620FB"/>
    <w:rsid w:val="00F64129"/>
    <w:rsid w:val="00F6571F"/>
    <w:rsid w:val="00F73AD5"/>
    <w:rsid w:val="00F755CD"/>
    <w:rsid w:val="00F8687E"/>
    <w:rsid w:val="00F91E34"/>
    <w:rsid w:val="00F93331"/>
    <w:rsid w:val="00F95549"/>
    <w:rsid w:val="00FA1E24"/>
    <w:rsid w:val="00FA24FB"/>
    <w:rsid w:val="00FA632B"/>
    <w:rsid w:val="00FB38EA"/>
    <w:rsid w:val="00FB5E0F"/>
    <w:rsid w:val="00FB6AFF"/>
    <w:rsid w:val="00FC4D8F"/>
    <w:rsid w:val="00FD06D3"/>
    <w:rsid w:val="00FE3157"/>
    <w:rsid w:val="00FE6865"/>
    <w:rsid w:val="00FE6993"/>
    <w:rsid w:val="00FE766F"/>
    <w:rsid w:val="00FF2795"/>
    <w:rsid w:val="01743A3A"/>
    <w:rsid w:val="03962A00"/>
    <w:rsid w:val="071E44EE"/>
    <w:rsid w:val="0A845E52"/>
    <w:rsid w:val="134E0126"/>
    <w:rsid w:val="1A0D6FD5"/>
    <w:rsid w:val="1F832FC0"/>
    <w:rsid w:val="233367D1"/>
    <w:rsid w:val="234E0009"/>
    <w:rsid w:val="25FE4E19"/>
    <w:rsid w:val="32DF2A5B"/>
    <w:rsid w:val="33A37500"/>
    <w:rsid w:val="34CD7060"/>
    <w:rsid w:val="3805545E"/>
    <w:rsid w:val="394E4502"/>
    <w:rsid w:val="3C5D3D49"/>
    <w:rsid w:val="46ED499D"/>
    <w:rsid w:val="4FD16B3E"/>
    <w:rsid w:val="50493E15"/>
    <w:rsid w:val="617918D6"/>
    <w:rsid w:val="66D815F4"/>
    <w:rsid w:val="6EC04F4B"/>
    <w:rsid w:val="74627083"/>
    <w:rsid w:val="78D33CEC"/>
    <w:rsid w:val="79843EDE"/>
    <w:rsid w:val="7CC84EFD"/>
    <w:rsid w:val="7D986BF9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  <o:shapelayout v:ext="edit">
      <o:rules v:ext="edit">
        <o:r id="V:Rule1" type="connector" idref="#Straight Connector 49"/>
      </o:rules>
    </o:shapelayout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0" w:semiHidden="0" w:name="footnote reference"/>
    <w:lsdException w:qFormat="1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0" w:semiHidden="0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9"/>
    <w:pPr>
      <w:ind w:firstLine="600" w:firstLineChars="200"/>
      <w:outlineLvl w:val="0"/>
    </w:pPr>
    <w:rPr>
      <w:rFonts w:ascii="黑体" w:hAnsi="黑体" w:eastAsia="黑体" w:cs="宋体"/>
      <w:color w:val="000000"/>
      <w:kern w:val="0"/>
      <w:sz w:val="30"/>
      <w:szCs w:val="30"/>
    </w:rPr>
  </w:style>
  <w:style w:type="paragraph" w:styleId="3">
    <w:name w:val="heading 2"/>
    <w:basedOn w:val="1"/>
    <w:next w:val="1"/>
    <w:link w:val="3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paragraph" w:styleId="4">
    <w:name w:val="heading 3"/>
    <w:basedOn w:val="1"/>
    <w:next w:val="1"/>
    <w:link w:val="35"/>
    <w:qFormat/>
    <w:uiPriority w:val="9"/>
    <w:pPr>
      <w:ind w:right="300"/>
      <w:outlineLvl w:val="2"/>
    </w:pPr>
    <w:rPr>
      <w:rFonts w:ascii="仿宋_GB2312" w:hAnsi="Calibri" w:eastAsia="仿宋_GB2312" w:cs="Times New Roman"/>
      <w:sz w:val="30"/>
      <w:szCs w:val="30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qFormat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Document Map"/>
    <w:basedOn w:val="1"/>
    <w:link w:val="39"/>
    <w:unhideWhenUsed/>
    <w:qFormat/>
    <w:uiPriority w:val="0"/>
    <w:rPr>
      <w:rFonts w:ascii="宋体"/>
      <w:sz w:val="18"/>
      <w:szCs w:val="18"/>
    </w:rPr>
  </w:style>
  <w:style w:type="paragraph" w:styleId="6">
    <w:name w:val="annotation text"/>
    <w:basedOn w:val="1"/>
    <w:link w:val="32"/>
    <w:unhideWhenUsed/>
    <w:uiPriority w:val="99"/>
    <w:pPr>
      <w:jc w:val="left"/>
    </w:pPr>
    <w:rPr>
      <w:rFonts w:ascii="Calibri" w:hAnsi="Calibri" w:eastAsia="宋体" w:cs="Times New Roman"/>
    </w:rPr>
  </w:style>
  <w:style w:type="paragraph" w:styleId="7">
    <w:name w:val="Balloon Text"/>
    <w:basedOn w:val="1"/>
    <w:link w:val="30"/>
    <w:unhideWhenUsed/>
    <w:uiPriority w:val="0"/>
    <w:rPr>
      <w:sz w:val="18"/>
      <w:szCs w:val="18"/>
    </w:rPr>
  </w:style>
  <w:style w:type="paragraph" w:styleId="8">
    <w:name w:val="footer"/>
    <w:basedOn w:val="1"/>
    <w:link w:val="2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footnote text"/>
    <w:basedOn w:val="1"/>
    <w:link w:val="37"/>
    <w:semiHidden/>
    <w:qFormat/>
    <w:uiPriority w:val="0"/>
    <w:pPr>
      <w:snapToGrid w:val="0"/>
      <w:jc w:val="left"/>
    </w:pPr>
    <w:rPr>
      <w:rFonts w:ascii="Times New Roman" w:hAnsi="Times New Roman"/>
      <w:sz w:val="18"/>
      <w:szCs w:val="18"/>
    </w:rPr>
  </w:style>
  <w:style w:type="paragraph" w:styleId="11">
    <w:name w:val="HTML Preformatted"/>
    <w:basedOn w:val="1"/>
    <w:link w:val="31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Hyperlink"/>
    <w:basedOn w:val="13"/>
    <w:unhideWhenUsed/>
    <w:uiPriority w:val="99"/>
    <w:rPr>
      <w:rFonts w:hint="default" w:ascii="ˎ̥" w:hAnsi="ˎ̥"/>
      <w:color w:val="0453CC"/>
      <w:sz w:val="20"/>
      <w:szCs w:val="20"/>
      <w:u w:val="none"/>
    </w:rPr>
  </w:style>
  <w:style w:type="character" w:styleId="15">
    <w:name w:val="annotation reference"/>
    <w:basedOn w:val="13"/>
    <w:unhideWhenUsed/>
    <w:qFormat/>
    <w:uiPriority w:val="0"/>
    <w:rPr>
      <w:sz w:val="21"/>
      <w:szCs w:val="21"/>
    </w:rPr>
  </w:style>
  <w:style w:type="character" w:styleId="16">
    <w:name w:val="footnote reference"/>
    <w:unhideWhenUsed/>
    <w:qFormat/>
    <w:uiPriority w:val="0"/>
    <w:rPr>
      <w:rFonts w:ascii="Times New Roman" w:hAnsi="Times New Roman" w:cs="Times New Roman"/>
      <w:vertAlign w:val="superscript"/>
    </w:rPr>
  </w:style>
  <w:style w:type="table" w:styleId="18">
    <w:name w:val="Table Grid"/>
    <w:basedOn w:val="17"/>
    <w:uiPriority w:val="59"/>
    <w:pPr/>
    <w:tblPr>
      <w:tblStyle w:val="17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  <w:style w:type="paragraph" w:customStyle="1" w:styleId="20">
    <w:name w:val="Default"/>
    <w:uiPriority w:val="99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kern w:val="0"/>
      <w:sz w:val="24"/>
      <w:szCs w:val="24"/>
      <w:lang w:val="en-US" w:eastAsia="zh-CN" w:bidi="ar-SA"/>
    </w:rPr>
  </w:style>
  <w:style w:type="paragraph" w:customStyle="1" w:styleId="21">
    <w:name w:val="juzhong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Revision"/>
    <w:hidden/>
    <w:semiHidden/>
    <w:qFormat/>
    <w:uiPriority w:val="99"/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23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customStyle="1" w:styleId="24">
    <w:name w:val="列出段落4"/>
    <w:basedOn w:val="1"/>
    <w:qFormat/>
    <w:uiPriority w:val="0"/>
    <w:pPr>
      <w:ind w:firstLine="200" w:firstLineChars="200"/>
    </w:pPr>
    <w:rPr>
      <w:rFonts w:ascii="Calibri" w:hAnsi="Calibri" w:eastAsia="宋体" w:cs="Times New Roman"/>
    </w:rPr>
  </w:style>
  <w:style w:type="paragraph" w:customStyle="1" w:styleId="25">
    <w:name w:val="列出段落3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customStyle="1" w:styleId="26">
    <w:name w:val="p0"/>
    <w:basedOn w:val="1"/>
    <w:uiPriority w:val="0"/>
    <w:pPr>
      <w:widowControl/>
    </w:pPr>
    <w:rPr>
      <w:rFonts w:ascii="Calibri" w:hAnsi="Calibri" w:eastAsia="宋体" w:cs="宋体"/>
      <w:kern w:val="0"/>
      <w:szCs w:val="21"/>
    </w:rPr>
  </w:style>
  <w:style w:type="paragraph" w:customStyle="1" w:styleId="27">
    <w:name w:val="Heading 1"/>
    <w:basedOn w:val="1"/>
    <w:qFormat/>
    <w:uiPriority w:val="1"/>
    <w:pPr>
      <w:spacing w:line="541" w:lineRule="exact"/>
      <w:ind w:left="1919" w:right="2017"/>
      <w:jc w:val="center"/>
      <w:outlineLvl w:val="1"/>
    </w:pPr>
    <w:rPr>
      <w:rFonts w:ascii="Noto Sans Mono CJK JP Regular" w:hAnsi="Noto Sans Mono CJK JP Regular" w:eastAsia="Noto Sans Mono CJK JP Regular" w:cs="Noto Sans Mono CJK JP Regular"/>
      <w:sz w:val="36"/>
      <w:szCs w:val="36"/>
    </w:rPr>
  </w:style>
  <w:style w:type="character" w:customStyle="1" w:styleId="28">
    <w:name w:val="页眉 Char"/>
    <w:basedOn w:val="13"/>
    <w:link w:val="9"/>
    <w:uiPriority w:val="99"/>
    <w:rPr>
      <w:sz w:val="18"/>
      <w:szCs w:val="18"/>
    </w:rPr>
  </w:style>
  <w:style w:type="character" w:customStyle="1" w:styleId="29">
    <w:name w:val="页脚 Char"/>
    <w:basedOn w:val="13"/>
    <w:link w:val="8"/>
    <w:uiPriority w:val="99"/>
    <w:rPr>
      <w:sz w:val="18"/>
      <w:szCs w:val="18"/>
    </w:rPr>
  </w:style>
  <w:style w:type="character" w:customStyle="1" w:styleId="30">
    <w:name w:val="批注框文本 Char"/>
    <w:basedOn w:val="13"/>
    <w:link w:val="7"/>
    <w:semiHidden/>
    <w:uiPriority w:val="0"/>
    <w:rPr>
      <w:sz w:val="18"/>
      <w:szCs w:val="18"/>
    </w:rPr>
  </w:style>
  <w:style w:type="character" w:customStyle="1" w:styleId="31">
    <w:name w:val="HTML 预设格式 Char"/>
    <w:basedOn w:val="13"/>
    <w:link w:val="11"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32">
    <w:name w:val="批注文字 Char"/>
    <w:basedOn w:val="13"/>
    <w:link w:val="6"/>
    <w:semiHidden/>
    <w:qFormat/>
    <w:uiPriority w:val="0"/>
    <w:rPr>
      <w:rFonts w:ascii="Calibri" w:hAnsi="Calibri" w:eastAsia="宋体" w:cs="Times New Roman"/>
    </w:rPr>
  </w:style>
  <w:style w:type="character" w:customStyle="1" w:styleId="33">
    <w:name w:val="标题 1 Char"/>
    <w:basedOn w:val="13"/>
    <w:link w:val="2"/>
    <w:qFormat/>
    <w:uiPriority w:val="9"/>
    <w:rPr>
      <w:rFonts w:ascii="黑体" w:hAnsi="黑体" w:eastAsia="黑体" w:cs="宋体"/>
      <w:color w:val="000000"/>
      <w:kern w:val="0"/>
      <w:sz w:val="30"/>
      <w:szCs w:val="30"/>
    </w:rPr>
  </w:style>
  <w:style w:type="character" w:customStyle="1" w:styleId="34">
    <w:name w:val="标题 2 Char"/>
    <w:basedOn w:val="13"/>
    <w:link w:val="3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35">
    <w:name w:val="标题 3 Char"/>
    <w:basedOn w:val="13"/>
    <w:link w:val="4"/>
    <w:qFormat/>
    <w:uiPriority w:val="9"/>
    <w:rPr>
      <w:rFonts w:ascii="仿宋_GB2312" w:hAnsi="Calibri" w:eastAsia="仿宋_GB2312" w:cs="Times New Roman"/>
      <w:sz w:val="30"/>
      <w:szCs w:val="30"/>
    </w:rPr>
  </w:style>
  <w:style w:type="character" w:customStyle="1" w:styleId="36">
    <w:name w:val="脚注文本 Char"/>
    <w:basedOn w:val="13"/>
    <w:semiHidden/>
    <w:uiPriority w:val="99"/>
    <w:rPr>
      <w:kern w:val="2"/>
      <w:sz w:val="18"/>
      <w:szCs w:val="18"/>
    </w:rPr>
  </w:style>
  <w:style w:type="character" w:customStyle="1" w:styleId="37">
    <w:name w:val="脚注文本 Char1"/>
    <w:basedOn w:val="13"/>
    <w:link w:val="10"/>
    <w:semiHidden/>
    <w:uiPriority w:val="0"/>
    <w:rPr>
      <w:rFonts w:ascii="Times New Roman" w:hAnsi="Times New Roman"/>
      <w:sz w:val="18"/>
      <w:szCs w:val="18"/>
    </w:rPr>
  </w:style>
  <w:style w:type="character" w:customStyle="1" w:styleId="38">
    <w:name w:val="标题 4 Char Char"/>
    <w:qFormat/>
    <w:uiPriority w:val="0"/>
    <w:rPr>
      <w:rFonts w:ascii="Calibri" w:hAnsi="Calibri"/>
      <w:b/>
      <w:bCs/>
      <w:sz w:val="28"/>
      <w:szCs w:val="28"/>
      <w:lang w:eastAsia="en-US" w:bidi="en-US"/>
    </w:rPr>
  </w:style>
  <w:style w:type="character" w:customStyle="1" w:styleId="39">
    <w:name w:val="文档结构图 Char"/>
    <w:basedOn w:val="13"/>
    <w:link w:val="5"/>
    <w:qFormat/>
    <w:uiPriority w:val="0"/>
    <w:rPr>
      <w:rFonts w:ascii="宋体"/>
      <w:sz w:val="18"/>
      <w:szCs w:val="18"/>
    </w:rPr>
  </w:style>
  <w:style w:type="character" w:customStyle="1" w:styleId="40">
    <w:name w:val="批注文字 Char1"/>
    <w:basedOn w:val="13"/>
    <w:semiHidden/>
    <w:qFormat/>
    <w:uiPriority w:val="99"/>
    <w:rPr>
      <w:kern w:val="2"/>
      <w:sz w:val="21"/>
      <w:szCs w:val="22"/>
    </w:rPr>
  </w:style>
  <w:style w:type="character" w:customStyle="1" w:styleId="41">
    <w:name w:val="Intense Emphasis"/>
    <w:basedOn w:val="13"/>
    <w:qFormat/>
    <w:uiPriority w:val="21"/>
    <w:rPr>
      <w:b/>
      <w:bCs/>
      <w:i/>
      <w:iCs/>
      <w:color w:val="4F81BD"/>
    </w:rPr>
  </w:style>
  <w:style w:type="character" w:customStyle="1" w:styleId="42">
    <w:name w:val="文档结构图 Char1"/>
    <w:basedOn w:val="13"/>
    <w:semiHidden/>
    <w:qFormat/>
    <w:uiPriority w:val="99"/>
    <w:rPr>
      <w:rFonts w:ascii="宋体" w:eastAsia="宋体"/>
      <w:sz w:val="18"/>
      <w:szCs w:val="18"/>
    </w:rPr>
  </w:style>
  <w:style w:type="character" w:customStyle="1" w:styleId="43">
    <w:name w:val="脚注文本 Char2"/>
    <w:basedOn w:val="1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240</Words>
  <Characters>1373</Characters>
  <Lines>11</Lines>
  <Paragraphs>3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2020-02-27T03:35:00Z</dcterms:created>
  <dc:creator>裴建君2</dc:creator>
  <cp:lastModifiedBy>丁蒙/办公室/南宁/PBC</cp:lastModifiedBy>
  <cp:lastPrinted>2020-09-28T03:20:00Z</cp:lastPrinted>
  <dcterms:modified xsi:type="dcterms:W3CDTF">2021-12-30T10:13:30Z</dcterms:modified>
  <dc:title>编号：57016               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